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8046" w14:textId="708DB939" w:rsidR="006808FF" w:rsidRPr="009A17FA" w:rsidRDefault="000A3A1B" w:rsidP="009A17FA">
      <w:pPr>
        <w:spacing w:after="360" w:line="20" w:lineRule="atLeast"/>
        <w:jc w:val="center"/>
        <w:rPr>
          <w:rFonts w:ascii="Georgia" w:eastAsia="Calibri" w:hAnsi="Georgia"/>
          <w:b/>
          <w:sz w:val="40"/>
          <w:szCs w:val="40"/>
        </w:rPr>
      </w:pPr>
      <w:r w:rsidRPr="009A17FA">
        <w:rPr>
          <w:rFonts w:ascii="Georgia" w:eastAsia="Calibri" w:hAnsi="Georgia"/>
          <w:b/>
          <w:noProof/>
          <w:sz w:val="40"/>
          <w:szCs w:val="40"/>
        </w:rPr>
        <w:drawing>
          <wp:anchor distT="0" distB="0" distL="114300" distR="114300" simplePos="0" relativeHeight="251659264" behindDoc="0" locked="0" layoutInCell="1" allowOverlap="1" wp14:anchorId="35771D18" wp14:editId="35A3E754">
            <wp:simplePos x="0" y="0"/>
            <wp:positionH relativeFrom="margin">
              <wp:align>left</wp:align>
            </wp:positionH>
            <wp:positionV relativeFrom="paragraph">
              <wp:posOffset>111125</wp:posOffset>
            </wp:positionV>
            <wp:extent cx="2362200" cy="2220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rotWithShape="1">
                    <a:blip r:embed="rId7" cstate="print">
                      <a:extLst>
                        <a:ext uri="{28A0092B-C50C-407E-A947-70E740481C1C}">
                          <a14:useLocalDpi xmlns:a14="http://schemas.microsoft.com/office/drawing/2010/main" val="0"/>
                        </a:ext>
                      </a:extLst>
                    </a:blip>
                    <a:srcRect b="5000"/>
                    <a:stretch/>
                  </pic:blipFill>
                  <pic:spPr bwMode="auto">
                    <a:xfrm>
                      <a:off x="0" y="0"/>
                      <a:ext cx="2364467" cy="2223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6000" w:rsidRPr="009A17FA">
        <w:rPr>
          <w:rFonts w:ascii="Georgia" w:eastAsia="Calibri" w:hAnsi="Georgia"/>
          <w:b/>
          <w:sz w:val="40"/>
          <w:szCs w:val="40"/>
        </w:rPr>
        <w:t>Equitable &amp; Sustainable Development</w:t>
      </w:r>
      <w:r w:rsidR="009A17FA" w:rsidRPr="009A17FA">
        <w:rPr>
          <w:rFonts w:ascii="Georgia" w:eastAsia="Calibri" w:hAnsi="Georgia"/>
          <w:b/>
          <w:sz w:val="40"/>
          <w:szCs w:val="40"/>
        </w:rPr>
        <w:t xml:space="preserve"> Framework </w:t>
      </w:r>
    </w:p>
    <w:p w14:paraId="78A0C3EF" w14:textId="77777777" w:rsidR="006808FF" w:rsidRPr="009A17FA" w:rsidRDefault="00D06EC5" w:rsidP="005F42FE">
      <w:pPr>
        <w:spacing w:after="200" w:line="20" w:lineRule="atLeast"/>
        <w:rPr>
          <w:rFonts w:eastAsia="Roboto"/>
          <w:color w:val="222222"/>
          <w:sz w:val="24"/>
          <w:szCs w:val="24"/>
          <w:highlight w:val="white"/>
        </w:rPr>
      </w:pPr>
      <w:r w:rsidRPr="009A17FA">
        <w:rPr>
          <w:rFonts w:eastAsia="Calibri"/>
          <w:sz w:val="24"/>
          <w:szCs w:val="24"/>
        </w:rPr>
        <w:t xml:space="preserve">As cities across the U.S. address the challenges of sustainability, they often turn to large infrastructure projects intended to support natural systems (e.g., air, water, green space) and improve quality of life for residents. Urban infrastructure is defined as the systems of facilities and services that allow cities to function, such as the energy grid, road and trail networks, water systems, </w:t>
      </w:r>
      <w:r w:rsidR="00355CE6" w:rsidRPr="009A17FA">
        <w:rPr>
          <w:rFonts w:eastAsia="Calibri"/>
          <w:sz w:val="24"/>
          <w:szCs w:val="24"/>
        </w:rPr>
        <w:t>storm water</w:t>
      </w:r>
      <w:r w:rsidRPr="009A17FA">
        <w:rPr>
          <w:rFonts w:eastAsia="Calibri"/>
          <w:sz w:val="24"/>
          <w:szCs w:val="24"/>
        </w:rPr>
        <w:t xml:space="preserve"> systems, and waste systems. For many, these projects have become a key component of what we think of as “sustainable development”: </w:t>
      </w:r>
    </w:p>
    <w:p w14:paraId="4A89A51B" w14:textId="77777777" w:rsidR="006808FF" w:rsidRPr="009A17FA" w:rsidRDefault="00D06EC5" w:rsidP="009A17FA">
      <w:pPr>
        <w:spacing w:after="200" w:line="20" w:lineRule="atLeast"/>
        <w:ind w:left="720"/>
        <w:rPr>
          <w:rFonts w:eastAsia="Calibri"/>
          <w:sz w:val="24"/>
          <w:szCs w:val="24"/>
        </w:rPr>
      </w:pPr>
      <w:r w:rsidRPr="009A17FA">
        <w:rPr>
          <w:rFonts w:eastAsia="Calibri"/>
          <w:color w:val="222222"/>
          <w:sz w:val="24"/>
          <w:szCs w:val="24"/>
          <w:highlight w:val="white"/>
        </w:rPr>
        <w:t>“Sustainable development is development that meets the needs of the present without compromising the ability of future generations to meet their own needs.”</w:t>
      </w:r>
      <w:r w:rsidRPr="009A17FA">
        <w:rPr>
          <w:rFonts w:eastAsia="Calibri"/>
          <w:color w:val="222222"/>
          <w:sz w:val="24"/>
          <w:szCs w:val="24"/>
          <w:highlight w:val="white"/>
          <w:vertAlign w:val="superscript"/>
        </w:rPr>
        <w:footnoteReference w:id="1"/>
      </w:r>
    </w:p>
    <w:p w14:paraId="1D8FCB43" w14:textId="77777777" w:rsidR="006808FF" w:rsidRPr="009A17FA" w:rsidRDefault="00D06EC5" w:rsidP="00C6704F">
      <w:pPr>
        <w:spacing w:after="200" w:line="20" w:lineRule="atLeast"/>
        <w:rPr>
          <w:rFonts w:eastAsia="Calibri"/>
          <w:sz w:val="24"/>
          <w:szCs w:val="24"/>
        </w:rPr>
      </w:pPr>
      <w:r w:rsidRPr="009A17FA">
        <w:rPr>
          <w:rFonts w:eastAsia="Calibri"/>
          <w:sz w:val="24"/>
          <w:szCs w:val="24"/>
        </w:rPr>
        <w:t xml:space="preserve">Many of these development projects have garnered international attention - such as New York City’s High Line, the River District in Portland, Oregon, and Discovery Green of Houston, Texas. Here in Atlanta, we also have one such project that has put Atlanta on the global map for sustainable development: The BeltLine, an urban redevelopment project that is turning 22 miles of abandoned railways into a corridor connecting 45 neighborhoods via transit, multi-use trails, and parks. </w:t>
      </w:r>
    </w:p>
    <w:p w14:paraId="307583A3" w14:textId="77777777" w:rsidR="006808FF" w:rsidRPr="009A17FA" w:rsidRDefault="00D06EC5" w:rsidP="00C6704F">
      <w:pPr>
        <w:spacing w:after="200" w:line="20" w:lineRule="atLeast"/>
        <w:rPr>
          <w:rFonts w:eastAsia="Calibri"/>
          <w:sz w:val="24"/>
          <w:szCs w:val="24"/>
        </w:rPr>
      </w:pPr>
      <w:r w:rsidRPr="009A17FA">
        <w:rPr>
          <w:rFonts w:eastAsia="Calibri"/>
          <w:sz w:val="24"/>
          <w:szCs w:val="24"/>
        </w:rPr>
        <w:t xml:space="preserve">The BeltLine evokes a lot of excitement, but it also raises concerns, particularly about how such large infrastructure projects can lead to gentrification and displacement: the process whereby high income, predominantly white residents move into newly developed areas, replacing low income or working-class residents and business owners - particularly those of color. In losing the latter, we also lose valuable, valid, and existing community culture. </w:t>
      </w:r>
    </w:p>
    <w:p w14:paraId="07307E07" w14:textId="54EC007A" w:rsidR="009A17FA" w:rsidRPr="009A17FA" w:rsidRDefault="00D06EC5" w:rsidP="009A17FA">
      <w:pPr>
        <w:spacing w:after="200" w:line="20" w:lineRule="atLeast"/>
        <w:rPr>
          <w:rFonts w:eastAsia="Calibri"/>
          <w:sz w:val="24"/>
          <w:szCs w:val="24"/>
        </w:rPr>
      </w:pPr>
      <w:r w:rsidRPr="009A17FA">
        <w:rPr>
          <w:rFonts w:eastAsia="Calibri"/>
          <w:sz w:val="24"/>
          <w:szCs w:val="24"/>
        </w:rPr>
        <w:t xml:space="preserve">As students in the iGniTe Sustainability Track, you’ll have the opportunity this summer to explore how environment, economy, equity and society shape large infrastructure projects like the BeltLine and are shaped by them. In your courses, you’ll explore this and related questions from different academic perspectives and, through interactions and partnerships with community organizations, through the lens of their particular work on development challenges. The special events we’ve planned for you outside of class will bring students from all the sustainability courses together with some key partners to give you a birds-eye view of these questions, transcending disciplines and demonstrating the importance of bringing together multiple types of experience and expertise to understand and collaboratively solve such large, complex challenges. </w:t>
      </w:r>
    </w:p>
    <w:p w14:paraId="70C8E61D" w14:textId="77777777" w:rsidR="006A3B0D" w:rsidRDefault="006A3B0D" w:rsidP="009A17FA">
      <w:pPr>
        <w:spacing w:line="20" w:lineRule="atLeast"/>
        <w:jc w:val="center"/>
        <w:rPr>
          <w:rFonts w:ascii="Georgia" w:eastAsia="Calibri" w:hAnsi="Georgia"/>
          <w:b/>
          <w:sz w:val="40"/>
          <w:szCs w:val="40"/>
        </w:rPr>
      </w:pPr>
    </w:p>
    <w:p w14:paraId="79229FAB" w14:textId="77777777" w:rsidR="006A3B0D" w:rsidRDefault="006A3B0D" w:rsidP="009A17FA">
      <w:pPr>
        <w:spacing w:line="20" w:lineRule="atLeast"/>
        <w:jc w:val="center"/>
        <w:rPr>
          <w:rFonts w:ascii="Georgia" w:eastAsia="Calibri" w:hAnsi="Georgia"/>
          <w:b/>
          <w:sz w:val="40"/>
          <w:szCs w:val="40"/>
        </w:rPr>
      </w:pPr>
    </w:p>
    <w:p w14:paraId="52822BB7" w14:textId="6630CC83" w:rsidR="009A17FA" w:rsidRDefault="009A17FA" w:rsidP="009A17FA">
      <w:pPr>
        <w:spacing w:line="20" w:lineRule="atLeast"/>
        <w:jc w:val="center"/>
        <w:rPr>
          <w:rFonts w:ascii="Georgia" w:eastAsia="Calibri" w:hAnsi="Georgia"/>
          <w:b/>
          <w:sz w:val="40"/>
          <w:szCs w:val="40"/>
        </w:rPr>
      </w:pPr>
      <w:bookmarkStart w:id="0" w:name="_GoBack"/>
      <w:bookmarkEnd w:id="0"/>
      <w:r>
        <w:rPr>
          <w:rFonts w:ascii="Georgia" w:eastAsia="Calibri" w:hAnsi="Georgia"/>
          <w:b/>
          <w:sz w:val="40"/>
          <w:szCs w:val="40"/>
        </w:rPr>
        <w:lastRenderedPageBreak/>
        <w:t>Equitable and Sustain Development:</w:t>
      </w:r>
    </w:p>
    <w:p w14:paraId="6A5F7622" w14:textId="66D3DAC1" w:rsidR="00D16000" w:rsidRPr="009A17FA" w:rsidRDefault="009A17FA" w:rsidP="009A17FA">
      <w:pPr>
        <w:spacing w:after="360" w:line="20" w:lineRule="atLeast"/>
        <w:jc w:val="center"/>
        <w:rPr>
          <w:rFonts w:ascii="Georgia" w:eastAsia="Calibri" w:hAnsi="Georgia"/>
          <w:sz w:val="40"/>
          <w:szCs w:val="40"/>
        </w:rPr>
      </w:pPr>
      <w:r>
        <w:rPr>
          <w:rFonts w:ascii="Georgia" w:eastAsia="Calibri" w:hAnsi="Georgia"/>
          <w:b/>
          <w:sz w:val="40"/>
          <w:szCs w:val="40"/>
        </w:rPr>
        <w:t xml:space="preserve">Key Concepts </w:t>
      </w:r>
    </w:p>
    <w:p w14:paraId="6B43DAE7" w14:textId="77777777" w:rsidR="006808FF" w:rsidRPr="009A17FA" w:rsidRDefault="00D06EC5" w:rsidP="00C6704F">
      <w:pPr>
        <w:spacing w:after="200" w:line="20" w:lineRule="atLeast"/>
        <w:rPr>
          <w:rFonts w:eastAsia="Calibri"/>
          <w:sz w:val="23"/>
          <w:szCs w:val="23"/>
        </w:rPr>
      </w:pPr>
      <w:r w:rsidRPr="009A17FA">
        <w:rPr>
          <w:rFonts w:eastAsia="Calibri"/>
          <w:sz w:val="23"/>
          <w:szCs w:val="23"/>
        </w:rPr>
        <w:t xml:space="preserve">In the coming weeks, consider how the issues we’re discussing connect to you. You are many things: a citizen, a human being, and a future professional in your discipline. In all of those capacities, you have a responsibility to think about the impacts of your choices on society, culture, the economy, and the environment. Let the key concepts below guide your thinking and learning as we move forward. </w:t>
      </w:r>
    </w:p>
    <w:tbl>
      <w:tblPr>
        <w:tblStyle w:val="a"/>
        <w:tblW w:w="99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
        <w:gridCol w:w="2715"/>
        <w:gridCol w:w="6720"/>
      </w:tblGrid>
      <w:tr w:rsidR="006808FF" w:rsidRPr="009A17FA" w14:paraId="5433B55C" w14:textId="77777777" w:rsidTr="009A17FA">
        <w:trPr>
          <w:trHeight w:val="1060"/>
        </w:trPr>
        <w:tc>
          <w:tcPr>
            <w:tcW w:w="525" w:type="dxa"/>
            <w:shd w:val="clear" w:color="auto" w:fill="B8CCE4" w:themeFill="accent1" w:themeFillTint="66"/>
            <w:tcMar>
              <w:top w:w="100" w:type="dxa"/>
              <w:left w:w="100" w:type="dxa"/>
              <w:bottom w:w="100" w:type="dxa"/>
              <w:right w:w="100" w:type="dxa"/>
            </w:tcMar>
          </w:tcPr>
          <w:p w14:paraId="2531C6FB" w14:textId="77777777" w:rsidR="006808FF" w:rsidRPr="009A17FA" w:rsidRDefault="00D06EC5" w:rsidP="00C6704F">
            <w:pPr>
              <w:spacing w:line="20" w:lineRule="atLeast"/>
              <w:rPr>
                <w:rFonts w:eastAsia="Calibri"/>
                <w:i/>
                <w:sz w:val="23"/>
                <w:szCs w:val="23"/>
              </w:rPr>
            </w:pPr>
            <w:r w:rsidRPr="009A17FA">
              <w:rPr>
                <w:rFonts w:eastAsia="Calibri"/>
                <w:i/>
                <w:sz w:val="23"/>
                <w:szCs w:val="23"/>
              </w:rPr>
              <w:t>#1</w:t>
            </w:r>
          </w:p>
        </w:tc>
        <w:tc>
          <w:tcPr>
            <w:tcW w:w="2715" w:type="dxa"/>
            <w:shd w:val="clear" w:color="auto" w:fill="B8CCE4" w:themeFill="accent1" w:themeFillTint="66"/>
            <w:tcMar>
              <w:top w:w="100" w:type="dxa"/>
              <w:left w:w="100" w:type="dxa"/>
              <w:bottom w:w="100" w:type="dxa"/>
              <w:right w:w="100" w:type="dxa"/>
            </w:tcMar>
          </w:tcPr>
          <w:p w14:paraId="01AB56CA" w14:textId="77777777" w:rsidR="006808FF" w:rsidRPr="009A17FA" w:rsidRDefault="00D06EC5" w:rsidP="00C6704F">
            <w:pPr>
              <w:spacing w:line="20" w:lineRule="atLeast"/>
              <w:rPr>
                <w:rFonts w:eastAsia="Calibri"/>
                <w:i/>
                <w:sz w:val="23"/>
                <w:szCs w:val="23"/>
              </w:rPr>
            </w:pPr>
            <w:r w:rsidRPr="009A17FA">
              <w:rPr>
                <w:rFonts w:eastAsia="Calibri"/>
                <w:i/>
                <w:sz w:val="23"/>
                <w:szCs w:val="23"/>
              </w:rPr>
              <w:t>Infrastructure serves multiple purposes.</w:t>
            </w:r>
          </w:p>
        </w:tc>
        <w:tc>
          <w:tcPr>
            <w:tcW w:w="6720" w:type="dxa"/>
            <w:shd w:val="clear" w:color="auto" w:fill="B8CCE4" w:themeFill="accent1" w:themeFillTint="66"/>
            <w:tcMar>
              <w:top w:w="100" w:type="dxa"/>
              <w:left w:w="100" w:type="dxa"/>
              <w:bottom w:w="100" w:type="dxa"/>
              <w:right w:w="100" w:type="dxa"/>
            </w:tcMar>
          </w:tcPr>
          <w:p w14:paraId="252D416D" w14:textId="77777777" w:rsidR="006808FF" w:rsidRPr="009A17FA" w:rsidRDefault="00F57BE0" w:rsidP="00C6704F">
            <w:pPr>
              <w:spacing w:line="20" w:lineRule="atLeast"/>
              <w:rPr>
                <w:rFonts w:eastAsia="Calibri"/>
                <w:sz w:val="23"/>
                <w:szCs w:val="23"/>
              </w:rPr>
            </w:pPr>
            <w:r w:rsidRPr="009A17FA">
              <w:rPr>
                <w:rFonts w:eastAsia="Calibri"/>
                <w:sz w:val="23"/>
                <w:szCs w:val="23"/>
              </w:rPr>
              <w:t>Sometimes we look at a major infrastructure project and focus on one of its functions, but good infrastructure can serve several functions. The BeltLine provides a transportation corridor for transit, walking, and biking, while it also mitigates flooding, creates business opportunities, restores greenspace, and showcases artists.</w:t>
            </w:r>
          </w:p>
        </w:tc>
      </w:tr>
      <w:tr w:rsidR="006808FF" w:rsidRPr="009A17FA" w14:paraId="76E056BB" w14:textId="77777777" w:rsidTr="009A17FA">
        <w:trPr>
          <w:trHeight w:val="1640"/>
        </w:trPr>
        <w:tc>
          <w:tcPr>
            <w:tcW w:w="525" w:type="dxa"/>
            <w:shd w:val="clear" w:color="auto" w:fill="auto"/>
            <w:tcMar>
              <w:top w:w="100" w:type="dxa"/>
              <w:left w:w="100" w:type="dxa"/>
              <w:bottom w:w="100" w:type="dxa"/>
              <w:right w:w="100" w:type="dxa"/>
            </w:tcMar>
          </w:tcPr>
          <w:p w14:paraId="5EC17531" w14:textId="77777777" w:rsidR="006808FF" w:rsidRPr="009A17FA" w:rsidRDefault="00D06EC5" w:rsidP="00C6704F">
            <w:pPr>
              <w:spacing w:line="20" w:lineRule="atLeast"/>
              <w:rPr>
                <w:rFonts w:eastAsia="Calibri"/>
                <w:i/>
                <w:sz w:val="23"/>
                <w:szCs w:val="23"/>
              </w:rPr>
            </w:pPr>
            <w:r w:rsidRPr="009A17FA">
              <w:rPr>
                <w:rFonts w:eastAsia="Calibri"/>
                <w:i/>
                <w:sz w:val="23"/>
                <w:szCs w:val="23"/>
              </w:rPr>
              <w:t>#2</w:t>
            </w:r>
          </w:p>
        </w:tc>
        <w:tc>
          <w:tcPr>
            <w:tcW w:w="2715" w:type="dxa"/>
            <w:shd w:val="clear" w:color="auto" w:fill="auto"/>
            <w:tcMar>
              <w:top w:w="100" w:type="dxa"/>
              <w:left w:w="100" w:type="dxa"/>
              <w:bottom w:w="100" w:type="dxa"/>
              <w:right w:w="100" w:type="dxa"/>
            </w:tcMar>
          </w:tcPr>
          <w:p w14:paraId="3EB9D2C9" w14:textId="77777777" w:rsidR="006808FF" w:rsidRPr="009A17FA" w:rsidRDefault="00D06EC5" w:rsidP="00C6704F">
            <w:pPr>
              <w:spacing w:line="20" w:lineRule="atLeast"/>
              <w:rPr>
                <w:rFonts w:eastAsia="Calibri"/>
                <w:i/>
                <w:sz w:val="23"/>
                <w:szCs w:val="23"/>
              </w:rPr>
            </w:pPr>
            <w:r w:rsidRPr="009A17FA">
              <w:rPr>
                <w:rFonts w:eastAsia="Calibri"/>
                <w:i/>
                <w:sz w:val="23"/>
                <w:szCs w:val="23"/>
              </w:rPr>
              <w:t xml:space="preserve">Development decisions impact both human and non-human life.  </w:t>
            </w:r>
          </w:p>
        </w:tc>
        <w:tc>
          <w:tcPr>
            <w:tcW w:w="6720" w:type="dxa"/>
            <w:shd w:val="clear" w:color="auto" w:fill="auto"/>
            <w:tcMar>
              <w:top w:w="100" w:type="dxa"/>
              <w:left w:w="100" w:type="dxa"/>
              <w:bottom w:w="100" w:type="dxa"/>
              <w:right w:w="100" w:type="dxa"/>
            </w:tcMar>
          </w:tcPr>
          <w:p w14:paraId="79D837C4" w14:textId="77777777" w:rsidR="006808FF" w:rsidRPr="009A17FA" w:rsidRDefault="00D06EC5" w:rsidP="00C6704F">
            <w:pPr>
              <w:spacing w:line="20" w:lineRule="atLeast"/>
              <w:rPr>
                <w:rFonts w:eastAsia="Calibri"/>
                <w:sz w:val="23"/>
                <w:szCs w:val="23"/>
              </w:rPr>
            </w:pPr>
            <w:r w:rsidRPr="009A17FA">
              <w:rPr>
                <w:rFonts w:eastAsia="Calibri"/>
                <w:sz w:val="23"/>
                <w:szCs w:val="23"/>
              </w:rPr>
              <w:t xml:space="preserve">Humans are just one piece of a complex and dynamic system. Therefore, our decisions need to take all forms of life into consideration. For example, the City of Seattle requires a proportion of new development to include vegetation, which offsets a portion of habitat loss attributed to development. </w:t>
            </w:r>
          </w:p>
        </w:tc>
      </w:tr>
      <w:tr w:rsidR="006808FF" w:rsidRPr="009A17FA" w14:paraId="62F3C6D1" w14:textId="77777777" w:rsidTr="009A17FA">
        <w:trPr>
          <w:trHeight w:val="1420"/>
        </w:trPr>
        <w:tc>
          <w:tcPr>
            <w:tcW w:w="525" w:type="dxa"/>
            <w:shd w:val="clear" w:color="auto" w:fill="B8CCE4" w:themeFill="accent1" w:themeFillTint="66"/>
            <w:tcMar>
              <w:top w:w="100" w:type="dxa"/>
              <w:left w:w="100" w:type="dxa"/>
              <w:bottom w:w="100" w:type="dxa"/>
              <w:right w:w="100" w:type="dxa"/>
            </w:tcMar>
          </w:tcPr>
          <w:p w14:paraId="176C3FF1" w14:textId="77777777" w:rsidR="006808FF" w:rsidRPr="009A17FA" w:rsidRDefault="00D06EC5" w:rsidP="00C6704F">
            <w:pPr>
              <w:spacing w:line="20" w:lineRule="atLeast"/>
              <w:rPr>
                <w:rFonts w:eastAsia="Calibri"/>
                <w:i/>
                <w:sz w:val="23"/>
                <w:szCs w:val="23"/>
              </w:rPr>
            </w:pPr>
            <w:r w:rsidRPr="009A17FA">
              <w:rPr>
                <w:rFonts w:eastAsia="Calibri"/>
                <w:i/>
                <w:sz w:val="23"/>
                <w:szCs w:val="23"/>
              </w:rPr>
              <w:t>#3</w:t>
            </w:r>
          </w:p>
        </w:tc>
        <w:tc>
          <w:tcPr>
            <w:tcW w:w="2715" w:type="dxa"/>
            <w:shd w:val="clear" w:color="auto" w:fill="B8CCE4" w:themeFill="accent1" w:themeFillTint="66"/>
            <w:tcMar>
              <w:top w:w="100" w:type="dxa"/>
              <w:left w:w="100" w:type="dxa"/>
              <w:bottom w:w="100" w:type="dxa"/>
              <w:right w:w="100" w:type="dxa"/>
            </w:tcMar>
          </w:tcPr>
          <w:p w14:paraId="2EDDCBB5" w14:textId="77777777" w:rsidR="006808FF" w:rsidRPr="009A17FA" w:rsidRDefault="00D06EC5" w:rsidP="00C6704F">
            <w:pPr>
              <w:spacing w:line="20" w:lineRule="atLeast"/>
              <w:rPr>
                <w:rFonts w:eastAsia="Calibri"/>
                <w:i/>
                <w:sz w:val="23"/>
                <w:szCs w:val="23"/>
              </w:rPr>
            </w:pPr>
            <w:r w:rsidRPr="009A17FA">
              <w:rPr>
                <w:rFonts w:eastAsia="Calibri"/>
                <w:i/>
                <w:sz w:val="23"/>
                <w:szCs w:val="23"/>
              </w:rPr>
              <w:t>Values influence development decisions.</w:t>
            </w:r>
          </w:p>
        </w:tc>
        <w:tc>
          <w:tcPr>
            <w:tcW w:w="6720" w:type="dxa"/>
            <w:shd w:val="clear" w:color="auto" w:fill="B8CCE4" w:themeFill="accent1" w:themeFillTint="66"/>
            <w:tcMar>
              <w:top w:w="100" w:type="dxa"/>
              <w:left w:w="100" w:type="dxa"/>
              <w:bottom w:w="100" w:type="dxa"/>
              <w:right w:w="100" w:type="dxa"/>
            </w:tcMar>
          </w:tcPr>
          <w:p w14:paraId="0DDC995A" w14:textId="77777777" w:rsidR="006808FF" w:rsidRPr="009A17FA" w:rsidRDefault="00D06EC5" w:rsidP="00C6704F">
            <w:pPr>
              <w:pBdr>
                <w:top w:val="nil"/>
                <w:left w:val="nil"/>
                <w:bottom w:val="nil"/>
                <w:right w:val="nil"/>
                <w:between w:val="nil"/>
              </w:pBdr>
              <w:spacing w:line="20" w:lineRule="atLeast"/>
              <w:rPr>
                <w:rFonts w:eastAsia="Calibri"/>
                <w:sz w:val="23"/>
                <w:szCs w:val="23"/>
              </w:rPr>
            </w:pPr>
            <w:r w:rsidRPr="009A17FA">
              <w:rPr>
                <w:rFonts w:eastAsia="Calibri"/>
                <w:sz w:val="23"/>
                <w:szCs w:val="23"/>
              </w:rPr>
              <w:t>Individuals and communities (professional, geographical, cultural, socioeconomic) bring their values and beliefs to every decision, whether they mean to or not. These values impact infrastructure development. For instance, a city may transform a vacant lot into a community garden, but if neighborhood residents do not value farming or lack proper guidance, then the garden may fall into disrepair</w:t>
            </w:r>
            <w:r w:rsidR="00E10457" w:rsidRPr="009A17FA">
              <w:rPr>
                <w:rFonts w:eastAsia="Calibri"/>
                <w:sz w:val="23"/>
                <w:szCs w:val="23"/>
              </w:rPr>
              <w:t>.</w:t>
            </w:r>
          </w:p>
        </w:tc>
      </w:tr>
      <w:tr w:rsidR="006808FF" w:rsidRPr="009A17FA" w14:paraId="6AFF7DE3" w14:textId="77777777" w:rsidTr="009A17FA">
        <w:trPr>
          <w:trHeight w:val="1640"/>
        </w:trPr>
        <w:tc>
          <w:tcPr>
            <w:tcW w:w="525" w:type="dxa"/>
            <w:shd w:val="clear" w:color="auto" w:fill="auto"/>
            <w:tcMar>
              <w:top w:w="100" w:type="dxa"/>
              <w:left w:w="100" w:type="dxa"/>
              <w:bottom w:w="100" w:type="dxa"/>
              <w:right w:w="100" w:type="dxa"/>
            </w:tcMar>
          </w:tcPr>
          <w:p w14:paraId="3D1F37D0" w14:textId="77777777" w:rsidR="006808FF" w:rsidRPr="009A17FA" w:rsidRDefault="00D06EC5" w:rsidP="00C6704F">
            <w:pPr>
              <w:spacing w:line="20" w:lineRule="atLeast"/>
              <w:rPr>
                <w:rFonts w:eastAsia="Calibri"/>
                <w:i/>
                <w:sz w:val="23"/>
                <w:szCs w:val="23"/>
              </w:rPr>
            </w:pPr>
            <w:r w:rsidRPr="009A17FA">
              <w:rPr>
                <w:rFonts w:eastAsia="Calibri"/>
                <w:i/>
                <w:sz w:val="23"/>
                <w:szCs w:val="23"/>
              </w:rPr>
              <w:t>#4</w:t>
            </w:r>
          </w:p>
        </w:tc>
        <w:tc>
          <w:tcPr>
            <w:tcW w:w="2715" w:type="dxa"/>
            <w:shd w:val="clear" w:color="auto" w:fill="auto"/>
            <w:tcMar>
              <w:top w:w="100" w:type="dxa"/>
              <w:left w:w="100" w:type="dxa"/>
              <w:bottom w:w="100" w:type="dxa"/>
              <w:right w:w="100" w:type="dxa"/>
            </w:tcMar>
          </w:tcPr>
          <w:p w14:paraId="71ACF203" w14:textId="77777777" w:rsidR="006808FF" w:rsidRPr="009A17FA" w:rsidRDefault="00D06EC5" w:rsidP="00C6704F">
            <w:pPr>
              <w:spacing w:line="20" w:lineRule="atLeast"/>
              <w:rPr>
                <w:rFonts w:eastAsia="Calibri"/>
                <w:i/>
                <w:sz w:val="23"/>
                <w:szCs w:val="23"/>
              </w:rPr>
            </w:pPr>
            <w:r w:rsidRPr="009A17FA">
              <w:rPr>
                <w:rFonts w:eastAsia="Calibri"/>
                <w:i/>
                <w:sz w:val="23"/>
                <w:szCs w:val="23"/>
              </w:rPr>
              <w:t>Infrastructure development impacts different communities in different ways.</w:t>
            </w:r>
          </w:p>
        </w:tc>
        <w:tc>
          <w:tcPr>
            <w:tcW w:w="6720" w:type="dxa"/>
            <w:shd w:val="clear" w:color="auto" w:fill="auto"/>
            <w:tcMar>
              <w:top w:w="100" w:type="dxa"/>
              <w:left w:w="100" w:type="dxa"/>
              <w:bottom w:w="100" w:type="dxa"/>
              <w:right w:w="100" w:type="dxa"/>
            </w:tcMar>
          </w:tcPr>
          <w:p w14:paraId="12CD59EC" w14:textId="77777777" w:rsidR="006808FF" w:rsidRPr="009A17FA" w:rsidRDefault="00D06EC5" w:rsidP="00C6704F">
            <w:pPr>
              <w:spacing w:line="20" w:lineRule="atLeast"/>
              <w:rPr>
                <w:rFonts w:eastAsia="Calibri"/>
                <w:sz w:val="23"/>
                <w:szCs w:val="23"/>
              </w:rPr>
            </w:pPr>
            <w:r w:rsidRPr="009A17FA">
              <w:rPr>
                <w:rFonts w:eastAsia="Calibri"/>
                <w:sz w:val="23"/>
                <w:szCs w:val="23"/>
              </w:rPr>
              <w:t xml:space="preserve">Because infrastructure projects have multiple uses and multiple effects, we must consider why each project is being built, and whom it serves. Development outcomes have different impacts on different groups, and what may be useful to one group may be neutral or even harmful to another. For example, the Old Fourth Ward Skate Park serves as a social and recreational space for youth, but some nearby homeowners view it as a nuisance because it brings noise. </w:t>
            </w:r>
          </w:p>
        </w:tc>
      </w:tr>
      <w:tr w:rsidR="006808FF" w:rsidRPr="009A17FA" w14:paraId="39CD272B" w14:textId="77777777" w:rsidTr="009A17FA">
        <w:trPr>
          <w:trHeight w:val="780"/>
        </w:trPr>
        <w:tc>
          <w:tcPr>
            <w:tcW w:w="525" w:type="dxa"/>
            <w:shd w:val="clear" w:color="auto" w:fill="B8CCE4" w:themeFill="accent1" w:themeFillTint="66"/>
            <w:tcMar>
              <w:top w:w="100" w:type="dxa"/>
              <w:left w:w="100" w:type="dxa"/>
              <w:bottom w:w="100" w:type="dxa"/>
              <w:right w:w="100" w:type="dxa"/>
            </w:tcMar>
          </w:tcPr>
          <w:p w14:paraId="668D4E6C" w14:textId="77777777" w:rsidR="006808FF" w:rsidRPr="009A17FA" w:rsidRDefault="00D06EC5" w:rsidP="00C6704F">
            <w:pPr>
              <w:spacing w:line="20" w:lineRule="atLeast"/>
              <w:rPr>
                <w:rFonts w:eastAsia="Calibri"/>
                <w:i/>
                <w:sz w:val="23"/>
                <w:szCs w:val="23"/>
              </w:rPr>
            </w:pPr>
            <w:r w:rsidRPr="009A17FA">
              <w:rPr>
                <w:rFonts w:eastAsia="Calibri"/>
                <w:i/>
                <w:sz w:val="23"/>
                <w:szCs w:val="23"/>
              </w:rPr>
              <w:t>#5</w:t>
            </w:r>
          </w:p>
        </w:tc>
        <w:tc>
          <w:tcPr>
            <w:tcW w:w="2715" w:type="dxa"/>
            <w:shd w:val="clear" w:color="auto" w:fill="B8CCE4" w:themeFill="accent1" w:themeFillTint="66"/>
            <w:tcMar>
              <w:top w:w="100" w:type="dxa"/>
              <w:left w:w="100" w:type="dxa"/>
              <w:bottom w:w="100" w:type="dxa"/>
              <w:right w:w="100" w:type="dxa"/>
            </w:tcMar>
          </w:tcPr>
          <w:p w14:paraId="560660DF" w14:textId="77777777" w:rsidR="006808FF" w:rsidRPr="009A17FA" w:rsidRDefault="00D06EC5" w:rsidP="00C6704F">
            <w:pPr>
              <w:spacing w:line="20" w:lineRule="atLeast"/>
              <w:rPr>
                <w:rFonts w:eastAsia="Calibri"/>
                <w:i/>
                <w:sz w:val="23"/>
                <w:szCs w:val="23"/>
              </w:rPr>
            </w:pPr>
            <w:r w:rsidRPr="009A17FA">
              <w:rPr>
                <w:rFonts w:eastAsia="Calibri"/>
                <w:i/>
                <w:sz w:val="23"/>
                <w:szCs w:val="23"/>
              </w:rPr>
              <w:t>Your voice is a powerful and necessary tool in assuring that large development projects benefit existing communities and benefit nature.</w:t>
            </w:r>
          </w:p>
        </w:tc>
        <w:tc>
          <w:tcPr>
            <w:tcW w:w="6720" w:type="dxa"/>
            <w:shd w:val="clear" w:color="auto" w:fill="B8CCE4" w:themeFill="accent1" w:themeFillTint="66"/>
            <w:tcMar>
              <w:top w:w="100" w:type="dxa"/>
              <w:left w:w="100" w:type="dxa"/>
              <w:bottom w:w="100" w:type="dxa"/>
              <w:right w:w="100" w:type="dxa"/>
            </w:tcMar>
          </w:tcPr>
          <w:p w14:paraId="4DBF2A78" w14:textId="77777777" w:rsidR="006808FF" w:rsidRPr="009A17FA" w:rsidRDefault="00D06EC5" w:rsidP="00C6704F">
            <w:pPr>
              <w:spacing w:line="20" w:lineRule="atLeast"/>
              <w:rPr>
                <w:rFonts w:eastAsia="Calibri"/>
                <w:sz w:val="23"/>
                <w:szCs w:val="23"/>
              </w:rPr>
            </w:pPr>
            <w:r w:rsidRPr="009A17FA">
              <w:rPr>
                <w:rFonts w:eastAsia="Calibri"/>
                <w:sz w:val="23"/>
                <w:szCs w:val="23"/>
              </w:rPr>
              <w:t xml:space="preserve">Government and business entities almost always end up controlling large development projects. To ensure that these projects benefit communities, individuals and communities need to organize and act. They must use their experiences and expertise to contribute a strong voice, one that will influence the direction of projects that impact, for example, the closing of neighborhood schools, a large infrastructural endeavor that impacts local educational practices and access to quality schooling in one’s neighborhood. </w:t>
            </w:r>
          </w:p>
        </w:tc>
      </w:tr>
    </w:tbl>
    <w:p w14:paraId="0E6473D7" w14:textId="77777777" w:rsidR="0032486A" w:rsidRPr="009A17FA" w:rsidRDefault="00D06EC5" w:rsidP="00C6704F">
      <w:pPr>
        <w:spacing w:line="20" w:lineRule="atLeast"/>
        <w:rPr>
          <w:rFonts w:eastAsia="Calibri"/>
          <w:sz w:val="24"/>
          <w:szCs w:val="24"/>
        </w:rPr>
      </w:pPr>
      <w:r w:rsidRPr="009A17FA">
        <w:rPr>
          <w:rFonts w:eastAsia="Calibri"/>
          <w:sz w:val="24"/>
          <w:szCs w:val="24"/>
        </w:rPr>
        <w:t xml:space="preserve"> </w:t>
      </w:r>
    </w:p>
    <w:p w14:paraId="3EBCC311" w14:textId="77777777" w:rsidR="008E2722" w:rsidRPr="009A17FA" w:rsidRDefault="008E2722" w:rsidP="009A17FA">
      <w:pPr>
        <w:spacing w:after="240" w:line="20" w:lineRule="atLeast"/>
        <w:jc w:val="center"/>
        <w:rPr>
          <w:rFonts w:ascii="Georgia" w:eastAsia="Calibri" w:hAnsi="Georgia"/>
          <w:b/>
          <w:sz w:val="40"/>
          <w:szCs w:val="40"/>
        </w:rPr>
      </w:pPr>
      <w:r w:rsidRPr="009A17FA">
        <w:rPr>
          <w:rFonts w:ascii="Georgia" w:eastAsia="Calibri" w:hAnsi="Georgia"/>
          <w:b/>
          <w:sz w:val="40"/>
          <w:szCs w:val="40"/>
        </w:rPr>
        <w:lastRenderedPageBreak/>
        <w:t>WHO WE ARE</w:t>
      </w:r>
    </w:p>
    <w:p w14:paraId="6A943359" w14:textId="77777777" w:rsidR="00026EE1" w:rsidRPr="009A17FA" w:rsidRDefault="00C87E70" w:rsidP="00C6704F">
      <w:pPr>
        <w:spacing w:after="120" w:line="20" w:lineRule="atLeast"/>
        <w:rPr>
          <w:rFonts w:eastAsia="Calibri"/>
          <w:sz w:val="23"/>
          <w:szCs w:val="23"/>
        </w:rPr>
      </w:pPr>
      <w:r w:rsidRPr="009A17FA">
        <w:rPr>
          <w:rFonts w:eastAsia="Calibri"/>
          <w:sz w:val="23"/>
          <w:szCs w:val="23"/>
        </w:rPr>
        <w:t xml:space="preserve">Georgia Tech’s motto is “Progress and Service” – and we are upping the ante through Serve-Learn-Sustain, a campus-wide academic initiative working with all six colleges to offer courses and programs connecting sustainability and community engagement with real-world partners and projects. The result? Georgia Tech graduates are using their disciplinary expertise related to science and technology to help “create sustainable communities” where humans and nature flourish, now and in the future, in Georgia, the U.S., and around the globe. </w:t>
      </w:r>
    </w:p>
    <w:p w14:paraId="5282C4CF" w14:textId="77777777" w:rsidR="00C87E70" w:rsidRPr="009A17FA" w:rsidRDefault="00C87E70" w:rsidP="00C87E70">
      <w:pPr>
        <w:spacing w:after="240" w:line="20" w:lineRule="atLeast"/>
        <w:rPr>
          <w:rFonts w:eastAsia="Calibri"/>
          <w:sz w:val="23"/>
          <w:szCs w:val="23"/>
        </w:rPr>
      </w:pPr>
      <w:r w:rsidRPr="009A17FA">
        <w:rPr>
          <w:rFonts w:eastAsia="Calibri"/>
          <w:sz w:val="23"/>
          <w:szCs w:val="23"/>
        </w:rPr>
        <w:t xml:space="preserve">Visit </w:t>
      </w:r>
      <w:hyperlink r:id="rId8" w:history="1">
        <w:r w:rsidRPr="009A17FA">
          <w:rPr>
            <w:rStyle w:val="Hyperlink"/>
            <w:rFonts w:eastAsia="Calibri"/>
            <w:sz w:val="23"/>
            <w:szCs w:val="23"/>
          </w:rPr>
          <w:t>our website</w:t>
        </w:r>
      </w:hyperlink>
      <w:r w:rsidRPr="009A17FA">
        <w:rPr>
          <w:rFonts w:eastAsia="Calibri"/>
          <w:sz w:val="23"/>
          <w:szCs w:val="23"/>
        </w:rPr>
        <w:t xml:space="preserve"> to browse over 100 affiliated courses, check out our Events Series, and sign up for our newsletter!</w:t>
      </w:r>
    </w:p>
    <w:tbl>
      <w:tblPr>
        <w:tblW w:w="1017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00"/>
        <w:gridCol w:w="8375"/>
      </w:tblGrid>
      <w:tr w:rsidR="00C87E70" w:rsidRPr="009A17FA" w14:paraId="735A346F" w14:textId="77777777" w:rsidTr="00C87E70">
        <w:trPr>
          <w:trHeight w:val="312"/>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50D1E" w14:textId="77777777" w:rsidR="00C87E70" w:rsidRPr="009A17FA" w:rsidRDefault="00C87E70" w:rsidP="00C87E70">
            <w:pPr>
              <w:pBdr>
                <w:top w:val="nil"/>
                <w:left w:val="nil"/>
                <w:bottom w:val="nil"/>
                <w:right w:val="nil"/>
                <w:between w:val="nil"/>
              </w:pBdr>
              <w:spacing w:line="240" w:lineRule="auto"/>
              <w:rPr>
                <w:rFonts w:eastAsia="Calibri"/>
                <w:b/>
              </w:rPr>
            </w:pPr>
            <w:r w:rsidRPr="009A17FA">
              <w:rPr>
                <w:rFonts w:eastAsia="Calibri"/>
                <w:b/>
              </w:rPr>
              <w:t>Name</w:t>
            </w:r>
          </w:p>
        </w:tc>
        <w:tc>
          <w:tcPr>
            <w:tcW w:w="83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B952286" w14:textId="77777777" w:rsidR="00C87E70" w:rsidRPr="009A17FA" w:rsidRDefault="00C87E70" w:rsidP="00C87E70">
            <w:pPr>
              <w:spacing w:line="240" w:lineRule="auto"/>
              <w:rPr>
                <w:rFonts w:eastAsia="Calibri"/>
                <w:b/>
              </w:rPr>
            </w:pPr>
            <w:r w:rsidRPr="009A17FA">
              <w:rPr>
                <w:rFonts w:eastAsia="Calibri"/>
                <w:b/>
              </w:rPr>
              <w:t>Background &amp; Contributions</w:t>
            </w:r>
          </w:p>
        </w:tc>
      </w:tr>
      <w:tr w:rsidR="00C87E70" w:rsidRPr="009A17FA" w14:paraId="2D595799" w14:textId="77777777" w:rsidTr="00C87E70">
        <w:trPr>
          <w:trHeight w:val="533"/>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9A8AA5" w14:textId="77777777" w:rsidR="00C87E70" w:rsidRPr="009A17FA" w:rsidRDefault="00C87E70" w:rsidP="00C87E70">
            <w:pPr>
              <w:spacing w:line="240" w:lineRule="auto"/>
              <w:rPr>
                <w:rFonts w:eastAsia="Calibri"/>
              </w:rPr>
            </w:pPr>
            <w:r w:rsidRPr="009A17FA">
              <w:rPr>
                <w:rFonts w:eastAsia="Calibri"/>
              </w:rPr>
              <w:t>Dave Ederer</w:t>
            </w:r>
          </w:p>
        </w:tc>
        <w:tc>
          <w:tcPr>
            <w:tcW w:w="8375" w:type="dxa"/>
            <w:tcBorders>
              <w:bottom w:val="single" w:sz="8" w:space="0" w:color="000000"/>
              <w:right w:val="single" w:sz="8" w:space="0" w:color="000000"/>
            </w:tcBorders>
            <w:tcMar>
              <w:top w:w="100" w:type="dxa"/>
              <w:left w:w="100" w:type="dxa"/>
              <w:bottom w:w="100" w:type="dxa"/>
              <w:right w:w="100" w:type="dxa"/>
            </w:tcMar>
          </w:tcPr>
          <w:p w14:paraId="51C5D3C0" w14:textId="77777777" w:rsidR="00C87E70" w:rsidRPr="009A17FA" w:rsidRDefault="00C87E70" w:rsidP="00C87E70">
            <w:pPr>
              <w:spacing w:line="240" w:lineRule="auto"/>
              <w:rPr>
                <w:rFonts w:eastAsia="Calibri"/>
              </w:rPr>
            </w:pPr>
            <w:r w:rsidRPr="009A17FA">
              <w:rPr>
                <w:rFonts w:eastAsia="Calibri"/>
              </w:rPr>
              <w:t>Graduate student in Civil &amp; Environmental Engineering. Planning the BeltLine tour and developing teaching resources on BeltLine history and values-based design.</w:t>
            </w:r>
          </w:p>
        </w:tc>
      </w:tr>
      <w:tr w:rsidR="00C87E70" w:rsidRPr="009A17FA" w14:paraId="2731B294" w14:textId="77777777" w:rsidTr="00C87E70">
        <w:trPr>
          <w:trHeight w:val="533"/>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82632B" w14:textId="77777777" w:rsidR="00C87E70" w:rsidRPr="009A17FA" w:rsidRDefault="00C87E70" w:rsidP="00C87E70">
            <w:pPr>
              <w:spacing w:line="240" w:lineRule="auto"/>
              <w:rPr>
                <w:rFonts w:eastAsia="Calibri"/>
              </w:rPr>
            </w:pPr>
            <w:r w:rsidRPr="009A17FA">
              <w:rPr>
                <w:rFonts w:eastAsia="Calibri"/>
              </w:rPr>
              <w:t>Maria Del Mar Ceballos</w:t>
            </w:r>
          </w:p>
        </w:tc>
        <w:tc>
          <w:tcPr>
            <w:tcW w:w="8375" w:type="dxa"/>
            <w:tcBorders>
              <w:bottom w:val="single" w:sz="8" w:space="0" w:color="000000"/>
              <w:right w:val="single" w:sz="8" w:space="0" w:color="000000"/>
            </w:tcBorders>
            <w:tcMar>
              <w:top w:w="100" w:type="dxa"/>
              <w:left w:w="100" w:type="dxa"/>
              <w:bottom w:w="100" w:type="dxa"/>
              <w:right w:w="100" w:type="dxa"/>
            </w:tcMar>
          </w:tcPr>
          <w:p w14:paraId="4023599D" w14:textId="77777777" w:rsidR="00C87E70" w:rsidRPr="009A17FA" w:rsidRDefault="00C87E70" w:rsidP="00C87E70">
            <w:pPr>
              <w:spacing w:line="240" w:lineRule="auto"/>
              <w:rPr>
                <w:rFonts w:eastAsia="Calibri"/>
              </w:rPr>
            </w:pPr>
            <w:r w:rsidRPr="009A17FA">
              <w:rPr>
                <w:rFonts w:eastAsia="Calibri"/>
              </w:rPr>
              <w:t>Architect in Facilities Management and Co-chair of the Facilities Sustainability Committee. Teaching GT1000.</w:t>
            </w:r>
          </w:p>
        </w:tc>
      </w:tr>
      <w:tr w:rsidR="00C87E70" w:rsidRPr="009A17FA" w14:paraId="46BF000E" w14:textId="77777777" w:rsidTr="00C87E70">
        <w:trPr>
          <w:trHeight w:val="520"/>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9CA9BD" w14:textId="77777777" w:rsidR="00C87E70" w:rsidRPr="009A17FA" w:rsidRDefault="00C87E70" w:rsidP="00C87E70">
            <w:pPr>
              <w:spacing w:line="240" w:lineRule="auto"/>
              <w:rPr>
                <w:rFonts w:eastAsia="Calibri"/>
              </w:rPr>
            </w:pPr>
            <w:r w:rsidRPr="009A17FA">
              <w:rPr>
                <w:rFonts w:eastAsia="Calibri"/>
              </w:rPr>
              <w:t>Jennifer Hirsch</w:t>
            </w:r>
          </w:p>
        </w:tc>
        <w:tc>
          <w:tcPr>
            <w:tcW w:w="8375" w:type="dxa"/>
            <w:tcBorders>
              <w:bottom w:val="single" w:sz="8" w:space="0" w:color="000000"/>
              <w:right w:val="single" w:sz="8" w:space="0" w:color="000000"/>
            </w:tcBorders>
            <w:tcMar>
              <w:top w:w="100" w:type="dxa"/>
              <w:left w:w="100" w:type="dxa"/>
              <w:bottom w:w="100" w:type="dxa"/>
              <w:right w:w="100" w:type="dxa"/>
            </w:tcMar>
          </w:tcPr>
          <w:p w14:paraId="6D28868F" w14:textId="77777777" w:rsidR="00C87E70" w:rsidRPr="009A17FA" w:rsidRDefault="00C87E70" w:rsidP="00C87E70">
            <w:pPr>
              <w:spacing w:line="240" w:lineRule="auto"/>
              <w:rPr>
                <w:rFonts w:eastAsia="Calibri"/>
              </w:rPr>
            </w:pPr>
            <w:r w:rsidRPr="009A17FA">
              <w:rPr>
                <w:rFonts w:eastAsia="Calibri"/>
              </w:rPr>
              <w:t>Director of Serve-Learn-Sustain. Leading SLS course collaboration around the Sustainability theme.</w:t>
            </w:r>
          </w:p>
        </w:tc>
      </w:tr>
      <w:tr w:rsidR="00C87E70" w:rsidRPr="009A17FA" w14:paraId="3942C453" w14:textId="77777777" w:rsidTr="00C87E70">
        <w:trPr>
          <w:trHeight w:val="245"/>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71E657" w14:textId="77777777" w:rsidR="00C87E70" w:rsidRPr="009A17FA" w:rsidRDefault="00C87E70" w:rsidP="00C87E70">
            <w:pPr>
              <w:spacing w:line="240" w:lineRule="auto"/>
              <w:rPr>
                <w:rFonts w:eastAsia="Calibri"/>
              </w:rPr>
            </w:pPr>
            <w:r w:rsidRPr="009A17FA">
              <w:rPr>
                <w:rFonts w:eastAsia="Calibri"/>
              </w:rPr>
              <w:t>Allen Hyde</w:t>
            </w:r>
          </w:p>
        </w:tc>
        <w:tc>
          <w:tcPr>
            <w:tcW w:w="8375" w:type="dxa"/>
            <w:tcBorders>
              <w:bottom w:val="single" w:sz="8" w:space="0" w:color="000000"/>
              <w:right w:val="single" w:sz="8" w:space="0" w:color="000000"/>
            </w:tcBorders>
            <w:tcMar>
              <w:top w:w="100" w:type="dxa"/>
              <w:left w:w="100" w:type="dxa"/>
              <w:bottom w:w="100" w:type="dxa"/>
              <w:right w:w="100" w:type="dxa"/>
            </w:tcMar>
          </w:tcPr>
          <w:p w14:paraId="349E557F" w14:textId="77777777" w:rsidR="00C87E70" w:rsidRPr="009A17FA" w:rsidRDefault="00C87E70" w:rsidP="00C87E70">
            <w:pPr>
              <w:spacing w:line="240" w:lineRule="auto"/>
              <w:rPr>
                <w:rFonts w:eastAsia="Calibri"/>
              </w:rPr>
            </w:pPr>
            <w:r w:rsidRPr="009A17FA">
              <w:rPr>
                <w:rFonts w:eastAsia="Calibri"/>
              </w:rPr>
              <w:t>Assistant Professor in History &amp; Sociology. Teaching HTS 3012: Urban Sociology.</w:t>
            </w:r>
          </w:p>
        </w:tc>
      </w:tr>
      <w:tr w:rsidR="00C87E70" w:rsidRPr="009A17FA" w14:paraId="4439FE22" w14:textId="77777777" w:rsidTr="00C87E70">
        <w:trPr>
          <w:trHeight w:val="308"/>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72802A" w14:textId="77777777" w:rsidR="00C87E70" w:rsidRPr="009A17FA" w:rsidRDefault="00C87E70" w:rsidP="00C87E70">
            <w:pPr>
              <w:spacing w:line="240" w:lineRule="auto"/>
              <w:rPr>
                <w:rFonts w:eastAsia="Calibri"/>
              </w:rPr>
            </w:pPr>
            <w:r w:rsidRPr="009A17FA">
              <w:rPr>
                <w:rFonts w:eastAsia="Calibri"/>
              </w:rPr>
              <w:t>Bethany Jacobs</w:t>
            </w:r>
          </w:p>
        </w:tc>
        <w:tc>
          <w:tcPr>
            <w:tcW w:w="8375" w:type="dxa"/>
            <w:tcBorders>
              <w:bottom w:val="single" w:sz="8" w:space="0" w:color="000000"/>
              <w:right w:val="single" w:sz="8" w:space="0" w:color="000000"/>
            </w:tcBorders>
            <w:tcMar>
              <w:top w:w="100" w:type="dxa"/>
              <w:left w:w="100" w:type="dxa"/>
              <w:bottom w:w="100" w:type="dxa"/>
              <w:right w:w="100" w:type="dxa"/>
            </w:tcMar>
          </w:tcPr>
          <w:p w14:paraId="30ABA732" w14:textId="77777777" w:rsidR="00C87E70" w:rsidRPr="009A17FA" w:rsidRDefault="00C87E70" w:rsidP="00C87E70">
            <w:pPr>
              <w:spacing w:line="240" w:lineRule="auto"/>
              <w:rPr>
                <w:rFonts w:eastAsia="Calibri"/>
              </w:rPr>
            </w:pPr>
            <w:r w:rsidRPr="009A17FA">
              <w:rPr>
                <w:rFonts w:eastAsia="Calibri"/>
              </w:rPr>
              <w:t xml:space="preserve">SLS Toolkit Manager. Leading the development of teaching tools and workshops. </w:t>
            </w:r>
          </w:p>
        </w:tc>
      </w:tr>
      <w:tr w:rsidR="00C87E70" w:rsidRPr="009A17FA" w14:paraId="2D1AB571" w14:textId="77777777" w:rsidTr="00C87E70">
        <w:trPr>
          <w:trHeight w:val="263"/>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D73770" w14:textId="77777777" w:rsidR="00C87E70" w:rsidRPr="009A17FA" w:rsidRDefault="00C87E70" w:rsidP="00C87E70">
            <w:pPr>
              <w:spacing w:line="240" w:lineRule="auto"/>
              <w:rPr>
                <w:rFonts w:eastAsia="Calibri"/>
              </w:rPr>
            </w:pPr>
            <w:r w:rsidRPr="009A17FA">
              <w:rPr>
                <w:rFonts w:eastAsia="Calibri"/>
              </w:rPr>
              <w:t>Jamie Jones</w:t>
            </w:r>
          </w:p>
        </w:tc>
        <w:tc>
          <w:tcPr>
            <w:tcW w:w="8375" w:type="dxa"/>
            <w:tcBorders>
              <w:bottom w:val="single" w:sz="8" w:space="0" w:color="000000"/>
              <w:right w:val="single" w:sz="8" w:space="0" w:color="000000"/>
            </w:tcBorders>
            <w:tcMar>
              <w:top w:w="100" w:type="dxa"/>
              <w:left w:w="100" w:type="dxa"/>
              <w:bottom w:w="100" w:type="dxa"/>
              <w:right w:w="100" w:type="dxa"/>
            </w:tcMar>
          </w:tcPr>
          <w:p w14:paraId="7E76C2C3" w14:textId="77777777" w:rsidR="00C87E70" w:rsidRPr="009A17FA" w:rsidRDefault="00C87E70" w:rsidP="00C87E70">
            <w:pPr>
              <w:spacing w:line="240" w:lineRule="auto"/>
              <w:rPr>
                <w:rFonts w:eastAsia="Calibri"/>
              </w:rPr>
            </w:pPr>
            <w:r w:rsidRPr="009A17FA">
              <w:rPr>
                <w:rFonts w:eastAsia="Calibri"/>
              </w:rPr>
              <w:t>Sr. Administrative Professional in Serve-Learn-Sustain. Teaching GT1000.</w:t>
            </w:r>
          </w:p>
        </w:tc>
      </w:tr>
      <w:tr w:rsidR="00C87E70" w:rsidRPr="009A17FA" w14:paraId="0174C359" w14:textId="77777777" w:rsidTr="00C87E70">
        <w:trPr>
          <w:trHeight w:val="488"/>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AF7A9A" w14:textId="77777777" w:rsidR="00C87E70" w:rsidRPr="009A17FA" w:rsidRDefault="00C87E70" w:rsidP="00C87E70">
            <w:pPr>
              <w:spacing w:line="240" w:lineRule="auto"/>
              <w:rPr>
                <w:rFonts w:eastAsia="Calibri"/>
              </w:rPr>
            </w:pPr>
            <w:r w:rsidRPr="009A17FA">
              <w:rPr>
                <w:rFonts w:eastAsia="Calibri"/>
              </w:rPr>
              <w:t>Kevin Lanza</w:t>
            </w:r>
          </w:p>
        </w:tc>
        <w:tc>
          <w:tcPr>
            <w:tcW w:w="8375" w:type="dxa"/>
            <w:tcBorders>
              <w:bottom w:val="single" w:sz="8" w:space="0" w:color="000000"/>
              <w:right w:val="single" w:sz="8" w:space="0" w:color="000000"/>
            </w:tcBorders>
            <w:tcMar>
              <w:top w:w="100" w:type="dxa"/>
              <w:left w:w="100" w:type="dxa"/>
              <w:bottom w:w="100" w:type="dxa"/>
              <w:right w:w="100" w:type="dxa"/>
            </w:tcMar>
          </w:tcPr>
          <w:p w14:paraId="0AFF5BE3" w14:textId="77777777" w:rsidR="00C87E70" w:rsidRPr="009A17FA" w:rsidRDefault="00C87E70" w:rsidP="00C87E70">
            <w:pPr>
              <w:spacing w:line="240" w:lineRule="auto"/>
              <w:rPr>
                <w:rFonts w:eastAsia="Calibri"/>
              </w:rPr>
            </w:pPr>
            <w:r w:rsidRPr="009A17FA">
              <w:rPr>
                <w:rFonts w:eastAsia="Calibri"/>
              </w:rPr>
              <w:t>Graduate student in City &amp; Regional Planning. Developing teaching resources on urban heat islands.</w:t>
            </w:r>
          </w:p>
        </w:tc>
      </w:tr>
      <w:tr w:rsidR="00C87E70" w:rsidRPr="009A17FA" w14:paraId="3F356830" w14:textId="77777777" w:rsidTr="00C87E70">
        <w:trPr>
          <w:trHeight w:val="533"/>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76E36D" w14:textId="77777777" w:rsidR="00C87E70" w:rsidRPr="009A17FA" w:rsidRDefault="00C87E70" w:rsidP="00C87E70">
            <w:pPr>
              <w:spacing w:line="240" w:lineRule="auto"/>
              <w:rPr>
                <w:rFonts w:eastAsia="Calibri"/>
              </w:rPr>
            </w:pPr>
            <w:r w:rsidRPr="009A17FA">
              <w:rPr>
                <w:rFonts w:eastAsia="Calibri"/>
              </w:rPr>
              <w:t>Yanni Loukissas</w:t>
            </w:r>
          </w:p>
        </w:tc>
        <w:tc>
          <w:tcPr>
            <w:tcW w:w="8375" w:type="dxa"/>
            <w:tcBorders>
              <w:bottom w:val="single" w:sz="8" w:space="0" w:color="000000"/>
              <w:right w:val="single" w:sz="8" w:space="0" w:color="000000"/>
            </w:tcBorders>
            <w:tcMar>
              <w:top w:w="100" w:type="dxa"/>
              <w:left w:w="100" w:type="dxa"/>
              <w:bottom w:w="100" w:type="dxa"/>
              <w:right w:w="100" w:type="dxa"/>
            </w:tcMar>
          </w:tcPr>
          <w:p w14:paraId="26FFD259" w14:textId="77777777" w:rsidR="00C87E70" w:rsidRPr="009A17FA" w:rsidRDefault="00C87E70" w:rsidP="00C87E70">
            <w:pPr>
              <w:spacing w:line="240" w:lineRule="auto"/>
              <w:rPr>
                <w:rFonts w:eastAsia="Calibri"/>
              </w:rPr>
            </w:pPr>
            <w:r w:rsidRPr="009A17FA">
              <w:rPr>
                <w:rFonts w:eastAsia="Calibri"/>
              </w:rPr>
              <w:t>Assistant Professor in Literature, Media and Communication. Teaching LMC 2400: Introduction to Media Studies.</w:t>
            </w:r>
          </w:p>
        </w:tc>
      </w:tr>
      <w:tr w:rsidR="00C87E70" w:rsidRPr="009A17FA" w14:paraId="0463CDE0" w14:textId="77777777" w:rsidTr="00C87E70">
        <w:trPr>
          <w:trHeight w:val="200"/>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EADAB1" w14:textId="77777777" w:rsidR="00C87E70" w:rsidRPr="009A17FA" w:rsidRDefault="00C87E70" w:rsidP="00C87E70">
            <w:pPr>
              <w:spacing w:line="240" w:lineRule="auto"/>
              <w:rPr>
                <w:rFonts w:eastAsia="Calibri"/>
              </w:rPr>
            </w:pPr>
            <w:r w:rsidRPr="009A17FA">
              <w:rPr>
                <w:rFonts w:eastAsia="Calibri"/>
              </w:rPr>
              <w:t>Lauren Neefe</w:t>
            </w:r>
          </w:p>
        </w:tc>
        <w:tc>
          <w:tcPr>
            <w:tcW w:w="8375" w:type="dxa"/>
            <w:tcBorders>
              <w:bottom w:val="single" w:sz="8" w:space="0" w:color="000000"/>
              <w:right w:val="single" w:sz="8" w:space="0" w:color="000000"/>
            </w:tcBorders>
            <w:tcMar>
              <w:top w:w="100" w:type="dxa"/>
              <w:left w:w="100" w:type="dxa"/>
              <w:bottom w:w="100" w:type="dxa"/>
              <w:right w:w="100" w:type="dxa"/>
            </w:tcMar>
          </w:tcPr>
          <w:p w14:paraId="12D4AFAA" w14:textId="77777777" w:rsidR="00C87E70" w:rsidRPr="009A17FA" w:rsidRDefault="00C87E70" w:rsidP="00C87E70">
            <w:pPr>
              <w:spacing w:line="240" w:lineRule="auto"/>
              <w:rPr>
                <w:rFonts w:eastAsia="Calibri"/>
              </w:rPr>
            </w:pPr>
            <w:r w:rsidRPr="009A17FA">
              <w:rPr>
                <w:rFonts w:eastAsia="Calibri"/>
              </w:rPr>
              <w:t>Instructor in Writing and Communication Program. Teaching ENGL 1101: Sound of Equity in the Living Building.</w:t>
            </w:r>
          </w:p>
        </w:tc>
      </w:tr>
      <w:tr w:rsidR="00C87E70" w:rsidRPr="009A17FA" w14:paraId="7403E1AC" w14:textId="77777777" w:rsidTr="00C87E70">
        <w:trPr>
          <w:trHeight w:val="520"/>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DDB7EF" w14:textId="77777777" w:rsidR="00C87E70" w:rsidRPr="009A17FA" w:rsidRDefault="00C87E70" w:rsidP="00C87E70">
            <w:pPr>
              <w:spacing w:line="240" w:lineRule="auto"/>
              <w:rPr>
                <w:rFonts w:eastAsia="Calibri"/>
              </w:rPr>
            </w:pPr>
            <w:r w:rsidRPr="009A17FA">
              <w:rPr>
                <w:rFonts w:eastAsia="Calibri"/>
              </w:rPr>
              <w:t>Yelena Rivera-Vale</w:t>
            </w:r>
          </w:p>
        </w:tc>
        <w:tc>
          <w:tcPr>
            <w:tcW w:w="8375" w:type="dxa"/>
            <w:tcBorders>
              <w:bottom w:val="single" w:sz="8" w:space="0" w:color="000000"/>
              <w:right w:val="single" w:sz="8" w:space="0" w:color="000000"/>
            </w:tcBorders>
            <w:tcMar>
              <w:top w:w="100" w:type="dxa"/>
              <w:left w:w="100" w:type="dxa"/>
              <w:bottom w:w="100" w:type="dxa"/>
              <w:right w:w="100" w:type="dxa"/>
            </w:tcMar>
          </w:tcPr>
          <w:p w14:paraId="6BE61015" w14:textId="77777777" w:rsidR="00C87E70" w:rsidRPr="009A17FA" w:rsidRDefault="00C87E70" w:rsidP="00C87E70">
            <w:pPr>
              <w:spacing w:line="240" w:lineRule="auto"/>
              <w:rPr>
                <w:rFonts w:eastAsia="Calibri"/>
              </w:rPr>
            </w:pPr>
            <w:r w:rsidRPr="009A17FA">
              <w:rPr>
                <w:rFonts w:eastAsia="Calibri"/>
              </w:rPr>
              <w:t>TV and Web Operations Coordinator, Georgia Tech Cable Network. Teaching GT1000.</w:t>
            </w:r>
          </w:p>
        </w:tc>
      </w:tr>
      <w:tr w:rsidR="00C87E70" w:rsidRPr="009A17FA" w14:paraId="323DDDDF" w14:textId="77777777" w:rsidTr="00C87E70">
        <w:trPr>
          <w:trHeight w:val="497"/>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F580FD" w14:textId="77777777" w:rsidR="00C87E70" w:rsidRPr="009A17FA" w:rsidRDefault="00C87E70" w:rsidP="00C87E70">
            <w:pPr>
              <w:spacing w:line="240" w:lineRule="auto"/>
              <w:rPr>
                <w:rFonts w:eastAsia="Calibri"/>
              </w:rPr>
            </w:pPr>
            <w:r w:rsidRPr="009A17FA">
              <w:rPr>
                <w:rFonts w:eastAsia="Calibri"/>
              </w:rPr>
              <w:t>McKenna Rose</w:t>
            </w:r>
          </w:p>
        </w:tc>
        <w:tc>
          <w:tcPr>
            <w:tcW w:w="8375" w:type="dxa"/>
            <w:tcBorders>
              <w:bottom w:val="single" w:sz="8" w:space="0" w:color="000000"/>
              <w:right w:val="single" w:sz="8" w:space="0" w:color="000000"/>
            </w:tcBorders>
            <w:tcMar>
              <w:top w:w="100" w:type="dxa"/>
              <w:left w:w="100" w:type="dxa"/>
              <w:bottom w:w="100" w:type="dxa"/>
              <w:right w:w="100" w:type="dxa"/>
            </w:tcMar>
          </w:tcPr>
          <w:p w14:paraId="0C624D58" w14:textId="77777777" w:rsidR="00C87E70" w:rsidRPr="009A17FA" w:rsidRDefault="00C87E70" w:rsidP="00C87E70">
            <w:pPr>
              <w:spacing w:line="240" w:lineRule="auto"/>
              <w:rPr>
                <w:rFonts w:eastAsia="Calibri"/>
              </w:rPr>
            </w:pPr>
            <w:r w:rsidRPr="009A17FA">
              <w:rPr>
                <w:rFonts w:eastAsia="Calibri"/>
              </w:rPr>
              <w:t>Instructor in the Writing and Communication Program. Teaching ENGL 1101: Sustaining Ecologies.</w:t>
            </w:r>
          </w:p>
        </w:tc>
      </w:tr>
      <w:tr w:rsidR="00C87E70" w:rsidRPr="009A17FA" w14:paraId="6E3B8DAD" w14:textId="77777777" w:rsidTr="00C87E70">
        <w:trPr>
          <w:trHeight w:val="515"/>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7570A2" w14:textId="77777777" w:rsidR="00C87E70" w:rsidRPr="009A17FA" w:rsidRDefault="00C87E70" w:rsidP="00C87E70">
            <w:pPr>
              <w:spacing w:line="240" w:lineRule="auto"/>
              <w:rPr>
                <w:rFonts w:eastAsia="Calibri"/>
              </w:rPr>
            </w:pPr>
            <w:r w:rsidRPr="009A17FA">
              <w:rPr>
                <w:rFonts w:eastAsia="Calibri"/>
              </w:rPr>
              <w:t>Nicholas Sturm</w:t>
            </w:r>
          </w:p>
        </w:tc>
        <w:tc>
          <w:tcPr>
            <w:tcW w:w="8375" w:type="dxa"/>
            <w:tcBorders>
              <w:bottom w:val="single" w:sz="8" w:space="0" w:color="000000"/>
              <w:right w:val="single" w:sz="8" w:space="0" w:color="000000"/>
            </w:tcBorders>
            <w:tcMar>
              <w:top w:w="100" w:type="dxa"/>
              <w:left w:w="100" w:type="dxa"/>
              <w:bottom w:w="100" w:type="dxa"/>
              <w:right w:w="100" w:type="dxa"/>
            </w:tcMar>
          </w:tcPr>
          <w:p w14:paraId="566EA84E" w14:textId="77777777" w:rsidR="00C87E70" w:rsidRPr="009A17FA" w:rsidRDefault="00C87E70" w:rsidP="00C87E70">
            <w:pPr>
              <w:spacing w:line="240" w:lineRule="auto"/>
              <w:rPr>
                <w:rFonts w:eastAsia="Calibri"/>
              </w:rPr>
            </w:pPr>
            <w:r w:rsidRPr="009A17FA">
              <w:rPr>
                <w:rFonts w:eastAsia="Calibri"/>
              </w:rPr>
              <w:t>Instructor in the Writing and Communication Program. Teaching ENGL 1102: Poetics of Sustainability: Environment &amp; Immigration.</w:t>
            </w:r>
          </w:p>
        </w:tc>
      </w:tr>
      <w:tr w:rsidR="00C87E70" w:rsidRPr="009A17FA" w14:paraId="58C43221" w14:textId="77777777" w:rsidTr="00C87E70">
        <w:trPr>
          <w:trHeight w:val="542"/>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B721C7" w14:textId="77777777" w:rsidR="00C87E70" w:rsidRPr="009A17FA" w:rsidRDefault="00C87E70" w:rsidP="00C87E70">
            <w:pPr>
              <w:spacing w:line="240" w:lineRule="auto"/>
              <w:rPr>
                <w:rFonts w:eastAsia="Calibri"/>
              </w:rPr>
            </w:pPr>
            <w:r w:rsidRPr="009A17FA">
              <w:rPr>
                <w:rFonts w:eastAsia="Calibri"/>
              </w:rPr>
              <w:t>Shane Totten</w:t>
            </w:r>
          </w:p>
        </w:tc>
        <w:tc>
          <w:tcPr>
            <w:tcW w:w="8375" w:type="dxa"/>
            <w:tcBorders>
              <w:bottom w:val="single" w:sz="8" w:space="0" w:color="000000"/>
              <w:right w:val="single" w:sz="8" w:space="0" w:color="000000"/>
            </w:tcBorders>
            <w:tcMar>
              <w:top w:w="100" w:type="dxa"/>
              <w:left w:w="100" w:type="dxa"/>
              <w:bottom w:w="100" w:type="dxa"/>
              <w:right w:w="100" w:type="dxa"/>
            </w:tcMar>
          </w:tcPr>
          <w:p w14:paraId="7597B9EA" w14:textId="77777777" w:rsidR="00C87E70" w:rsidRPr="009A17FA" w:rsidRDefault="00C87E70" w:rsidP="00C87E70">
            <w:pPr>
              <w:spacing w:line="240" w:lineRule="auto"/>
              <w:rPr>
                <w:rFonts w:eastAsia="Calibri"/>
              </w:rPr>
            </w:pPr>
            <w:r w:rsidRPr="009A17FA">
              <w:rPr>
                <w:rFonts w:eastAsia="Calibri"/>
              </w:rPr>
              <w:t xml:space="preserve">Director, Research &amp; Innovation at Southface Energy Institute, an SLS partner. Advising on SLS teaching approach to equitable and sustainable development. </w:t>
            </w:r>
          </w:p>
        </w:tc>
      </w:tr>
      <w:tr w:rsidR="00C87E70" w:rsidRPr="009A17FA" w14:paraId="49C13E5B" w14:textId="77777777" w:rsidTr="00C87E70">
        <w:trPr>
          <w:trHeight w:val="488"/>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C3FA05" w14:textId="77777777" w:rsidR="00C87E70" w:rsidRPr="009A17FA" w:rsidRDefault="00C87E70" w:rsidP="00C87E70">
            <w:pPr>
              <w:spacing w:line="240" w:lineRule="auto"/>
              <w:rPr>
                <w:rFonts w:eastAsia="Calibri"/>
              </w:rPr>
            </w:pPr>
            <w:r w:rsidRPr="009A17FA">
              <w:rPr>
                <w:rFonts w:eastAsia="Calibri"/>
              </w:rPr>
              <w:t>Joycelyn Wilson</w:t>
            </w:r>
          </w:p>
        </w:tc>
        <w:tc>
          <w:tcPr>
            <w:tcW w:w="8375" w:type="dxa"/>
            <w:tcBorders>
              <w:bottom w:val="single" w:sz="8" w:space="0" w:color="000000"/>
              <w:right w:val="single" w:sz="8" w:space="0" w:color="000000"/>
            </w:tcBorders>
            <w:tcMar>
              <w:top w:w="100" w:type="dxa"/>
              <w:left w:w="100" w:type="dxa"/>
              <w:bottom w:w="100" w:type="dxa"/>
              <w:right w:w="100" w:type="dxa"/>
            </w:tcMar>
          </w:tcPr>
          <w:p w14:paraId="6E5B9071" w14:textId="77777777" w:rsidR="00C87E70" w:rsidRPr="009A17FA" w:rsidRDefault="00C87E70" w:rsidP="00C87E70">
            <w:pPr>
              <w:spacing w:line="240" w:lineRule="auto"/>
              <w:rPr>
                <w:rFonts w:eastAsia="Calibri"/>
              </w:rPr>
            </w:pPr>
            <w:r w:rsidRPr="009A17FA">
              <w:rPr>
                <w:rFonts w:eastAsia="Calibri"/>
              </w:rPr>
              <w:t>Assistant Professor in Literature, Media and Communication. Developing teaching resources that use media artifacts to examine sustainability and gentrification.</w:t>
            </w:r>
          </w:p>
        </w:tc>
      </w:tr>
    </w:tbl>
    <w:p w14:paraId="1581F3EA" w14:textId="77777777" w:rsidR="00026EE1" w:rsidRPr="009A17FA" w:rsidRDefault="00026EE1" w:rsidP="00C87E70">
      <w:pPr>
        <w:spacing w:after="120" w:line="20" w:lineRule="atLeast"/>
        <w:rPr>
          <w:rFonts w:eastAsia="Calibri"/>
          <w:sz w:val="23"/>
          <w:szCs w:val="23"/>
        </w:rPr>
      </w:pPr>
    </w:p>
    <w:sectPr w:rsidR="00026EE1" w:rsidRPr="009A17FA" w:rsidSect="00C87E70">
      <w:headerReference w:type="default" r:id="rId9"/>
      <w:headerReference w:type="first" r:id="rId10"/>
      <w:pgSz w:w="12240" w:h="15840"/>
      <w:pgMar w:top="1080" w:right="1080" w:bottom="864"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45237" w14:textId="77777777" w:rsidR="00FA1A40" w:rsidRDefault="00FA1A40">
      <w:pPr>
        <w:spacing w:line="240" w:lineRule="auto"/>
      </w:pPr>
      <w:r>
        <w:separator/>
      </w:r>
    </w:p>
  </w:endnote>
  <w:endnote w:type="continuationSeparator" w:id="0">
    <w:p w14:paraId="1A39165F" w14:textId="77777777" w:rsidR="00FA1A40" w:rsidRDefault="00FA1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Helvetica">
    <w:altName w:val="Sylfaen"/>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028BD" w14:textId="77777777" w:rsidR="00FA1A40" w:rsidRDefault="00FA1A40">
      <w:pPr>
        <w:spacing w:line="240" w:lineRule="auto"/>
      </w:pPr>
      <w:r>
        <w:separator/>
      </w:r>
    </w:p>
  </w:footnote>
  <w:footnote w:type="continuationSeparator" w:id="0">
    <w:p w14:paraId="44C7D720" w14:textId="77777777" w:rsidR="00FA1A40" w:rsidRDefault="00FA1A40">
      <w:pPr>
        <w:spacing w:line="240" w:lineRule="auto"/>
      </w:pPr>
      <w:r>
        <w:continuationSeparator/>
      </w:r>
    </w:p>
  </w:footnote>
  <w:footnote w:id="1">
    <w:p w14:paraId="2B026BBB" w14:textId="77777777" w:rsidR="006808FF" w:rsidRDefault="00D06EC5">
      <w:pPr>
        <w:spacing w:line="240" w:lineRule="auto"/>
        <w:rPr>
          <w:sz w:val="18"/>
          <w:szCs w:val="18"/>
        </w:rPr>
      </w:pPr>
      <w:r>
        <w:rPr>
          <w:vertAlign w:val="superscript"/>
        </w:rPr>
        <w:footnoteRef/>
      </w:r>
      <w:r>
        <w:rPr>
          <w:sz w:val="18"/>
          <w:szCs w:val="18"/>
        </w:rPr>
        <w:t xml:space="preserve"> World Commission on Environment and Development. </w:t>
      </w:r>
      <w:r>
        <w:rPr>
          <w:i/>
          <w:sz w:val="18"/>
          <w:szCs w:val="18"/>
        </w:rPr>
        <w:t xml:space="preserve">Our Common Future. </w:t>
      </w:r>
      <w:r>
        <w:rPr>
          <w:sz w:val="18"/>
          <w:szCs w:val="18"/>
        </w:rPr>
        <w:t>Oxford University Press</w:t>
      </w:r>
    </w:p>
    <w:p w14:paraId="16EBB230" w14:textId="77777777" w:rsidR="006808FF" w:rsidRDefault="00D06EC5">
      <w:pPr>
        <w:spacing w:line="240" w:lineRule="auto"/>
        <w:rPr>
          <w:sz w:val="18"/>
          <w:szCs w:val="18"/>
        </w:rPr>
      </w:pPr>
      <w:r>
        <w:rPr>
          <w:sz w:val="18"/>
          <w:szCs w:val="18"/>
        </w:rPr>
        <w:t xml:space="preserve">(1987).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5835" w14:textId="77777777" w:rsidR="008E2722" w:rsidRDefault="008E2722">
    <w:pPr>
      <w:pStyle w:val="Header"/>
    </w:pPr>
  </w:p>
  <w:p w14:paraId="2E859C95" w14:textId="77777777" w:rsidR="008E2722" w:rsidRDefault="008E2722">
    <w:pPr>
      <w:pStyle w:val="Header"/>
    </w:pPr>
  </w:p>
  <w:p w14:paraId="56D4C3DD" w14:textId="77777777" w:rsidR="008E2722" w:rsidRDefault="008E2722">
    <w:pPr>
      <w:pStyle w:val="Header"/>
    </w:pPr>
  </w:p>
  <w:p w14:paraId="3B6AD6EB" w14:textId="77777777" w:rsidR="008E2722" w:rsidRDefault="008E2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D1A1" w14:textId="77777777" w:rsidR="008E2722" w:rsidRDefault="008E2722">
    <w:pPr>
      <w:pStyle w:val="Header"/>
    </w:pPr>
  </w:p>
  <w:p w14:paraId="7F74DC4F" w14:textId="77777777" w:rsidR="008E2722" w:rsidRDefault="008E2722">
    <w:pPr>
      <w:pStyle w:val="Header"/>
    </w:pPr>
  </w:p>
  <w:p w14:paraId="4134C633" w14:textId="15D707C8" w:rsidR="008E2722" w:rsidRDefault="008E2722" w:rsidP="009A17FA">
    <w:pPr>
      <w:pStyle w:val="Header"/>
      <w:tabs>
        <w:tab w:val="clear" w:pos="4680"/>
        <w:tab w:val="clear" w:pos="9360"/>
        <w:tab w:val="left" w:pos="4140"/>
        <w:tab w:val="center" w:pos="9000"/>
        <w:tab w:val="right" w:pos="9990"/>
      </w:tabs>
      <w:jc w:val="right"/>
    </w:pPr>
    <w:r>
      <w:rPr>
        <w:rFonts w:ascii="Helvetica" w:eastAsia="Times New Roman" w:hAnsi="Helvetica" w:cs="Helvetica"/>
        <w:noProof/>
        <w:sz w:val="18"/>
        <w:szCs w:val="18"/>
      </w:rPr>
      <w:drawing>
        <wp:inline distT="0" distB="0" distL="0" distR="0" wp14:anchorId="3623B2BA" wp14:editId="128C601E">
          <wp:extent cx="2415396" cy="600075"/>
          <wp:effectExtent l="0" t="0" r="4445" b="0"/>
          <wp:docPr id="25" name="Picture 25" descr="http://d31hzlhk6di2h5.cloudfront.net/20180305/8e/1c/da/3d/c7739d0aac9a53b908a88ba4_1280x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hzlhk6di2h5.cloudfront.net/20180305/8e/1c/da/3d/c7739d0aac9a53b908a88ba4_1280x3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845" cy="602174"/>
                  </a:xfrm>
                  <a:prstGeom prst="rect">
                    <a:avLst/>
                  </a:prstGeom>
                  <a:noFill/>
                  <a:ln>
                    <a:noFill/>
                  </a:ln>
                </pic:spPr>
              </pic:pic>
            </a:graphicData>
          </a:graphic>
        </wp:inline>
      </w:drawing>
    </w:r>
    <w:r w:rsidR="00773E50">
      <w:tab/>
    </w:r>
    <w:r w:rsidR="00F50760">
      <w:t xml:space="preserve">    </w:t>
    </w:r>
    <w:r w:rsidR="00F50760">
      <w:tab/>
      <w:t xml:space="preserve">  </w:t>
    </w:r>
    <w:r w:rsidR="00F50760">
      <w:tab/>
    </w:r>
  </w:p>
  <w:p w14:paraId="06D971D5" w14:textId="77777777" w:rsidR="009A17FA" w:rsidRDefault="009A17FA" w:rsidP="009A17FA">
    <w:pPr>
      <w:pStyle w:val="Header"/>
      <w:tabs>
        <w:tab w:val="clear" w:pos="4680"/>
        <w:tab w:val="clear" w:pos="9360"/>
        <w:tab w:val="left" w:pos="4140"/>
        <w:tab w:val="center" w:pos="9000"/>
        <w:tab w:val="right" w:pos="9990"/>
      </w:tabs>
      <w:jc w:val="right"/>
    </w:pPr>
  </w:p>
  <w:p w14:paraId="20A463FA" w14:textId="77777777" w:rsidR="00F50760" w:rsidRDefault="00F50760" w:rsidP="00F50760">
    <w:pPr>
      <w:pStyle w:val="Header"/>
      <w:tabs>
        <w:tab w:val="clear" w:pos="9360"/>
        <w:tab w:val="left" w:pos="4140"/>
        <w:tab w:val="right" w:pos="99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12BD8"/>
    <w:multiLevelType w:val="hybridMultilevel"/>
    <w:tmpl w:val="7DB61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E5FD6"/>
    <w:multiLevelType w:val="multilevel"/>
    <w:tmpl w:val="D144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47079"/>
    <w:multiLevelType w:val="multilevel"/>
    <w:tmpl w:val="3092A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4C5893"/>
    <w:multiLevelType w:val="hybridMultilevel"/>
    <w:tmpl w:val="A11C487A"/>
    <w:lvl w:ilvl="0" w:tplc="FA80A29A">
      <w:start w:val="1"/>
      <w:numFmt w:val="bullet"/>
      <w:lvlText w:val="•"/>
      <w:lvlJc w:val="left"/>
      <w:pPr>
        <w:tabs>
          <w:tab w:val="num" w:pos="720"/>
        </w:tabs>
        <w:ind w:left="720" w:hanging="360"/>
      </w:pPr>
      <w:rPr>
        <w:rFonts w:ascii="Arial" w:hAnsi="Arial" w:hint="default"/>
      </w:rPr>
    </w:lvl>
    <w:lvl w:ilvl="1" w:tplc="98C8AFE0" w:tentative="1">
      <w:start w:val="1"/>
      <w:numFmt w:val="bullet"/>
      <w:lvlText w:val="•"/>
      <w:lvlJc w:val="left"/>
      <w:pPr>
        <w:tabs>
          <w:tab w:val="num" w:pos="1440"/>
        </w:tabs>
        <w:ind w:left="1440" w:hanging="360"/>
      </w:pPr>
      <w:rPr>
        <w:rFonts w:ascii="Arial" w:hAnsi="Arial" w:hint="default"/>
      </w:rPr>
    </w:lvl>
    <w:lvl w:ilvl="2" w:tplc="B2620FD4" w:tentative="1">
      <w:start w:val="1"/>
      <w:numFmt w:val="bullet"/>
      <w:lvlText w:val="•"/>
      <w:lvlJc w:val="left"/>
      <w:pPr>
        <w:tabs>
          <w:tab w:val="num" w:pos="2160"/>
        </w:tabs>
        <w:ind w:left="2160" w:hanging="360"/>
      </w:pPr>
      <w:rPr>
        <w:rFonts w:ascii="Arial" w:hAnsi="Arial" w:hint="default"/>
      </w:rPr>
    </w:lvl>
    <w:lvl w:ilvl="3" w:tplc="9AB6A0F6" w:tentative="1">
      <w:start w:val="1"/>
      <w:numFmt w:val="bullet"/>
      <w:lvlText w:val="•"/>
      <w:lvlJc w:val="left"/>
      <w:pPr>
        <w:tabs>
          <w:tab w:val="num" w:pos="2880"/>
        </w:tabs>
        <w:ind w:left="2880" w:hanging="360"/>
      </w:pPr>
      <w:rPr>
        <w:rFonts w:ascii="Arial" w:hAnsi="Arial" w:hint="default"/>
      </w:rPr>
    </w:lvl>
    <w:lvl w:ilvl="4" w:tplc="7F6CBD3C" w:tentative="1">
      <w:start w:val="1"/>
      <w:numFmt w:val="bullet"/>
      <w:lvlText w:val="•"/>
      <w:lvlJc w:val="left"/>
      <w:pPr>
        <w:tabs>
          <w:tab w:val="num" w:pos="3600"/>
        </w:tabs>
        <w:ind w:left="3600" w:hanging="360"/>
      </w:pPr>
      <w:rPr>
        <w:rFonts w:ascii="Arial" w:hAnsi="Arial" w:hint="default"/>
      </w:rPr>
    </w:lvl>
    <w:lvl w:ilvl="5" w:tplc="5386C68C" w:tentative="1">
      <w:start w:val="1"/>
      <w:numFmt w:val="bullet"/>
      <w:lvlText w:val="•"/>
      <w:lvlJc w:val="left"/>
      <w:pPr>
        <w:tabs>
          <w:tab w:val="num" w:pos="4320"/>
        </w:tabs>
        <w:ind w:left="4320" w:hanging="360"/>
      </w:pPr>
      <w:rPr>
        <w:rFonts w:ascii="Arial" w:hAnsi="Arial" w:hint="default"/>
      </w:rPr>
    </w:lvl>
    <w:lvl w:ilvl="6" w:tplc="7A7C73D0" w:tentative="1">
      <w:start w:val="1"/>
      <w:numFmt w:val="bullet"/>
      <w:lvlText w:val="•"/>
      <w:lvlJc w:val="left"/>
      <w:pPr>
        <w:tabs>
          <w:tab w:val="num" w:pos="5040"/>
        </w:tabs>
        <w:ind w:left="5040" w:hanging="360"/>
      </w:pPr>
      <w:rPr>
        <w:rFonts w:ascii="Arial" w:hAnsi="Arial" w:hint="default"/>
      </w:rPr>
    </w:lvl>
    <w:lvl w:ilvl="7" w:tplc="9262476E" w:tentative="1">
      <w:start w:val="1"/>
      <w:numFmt w:val="bullet"/>
      <w:lvlText w:val="•"/>
      <w:lvlJc w:val="left"/>
      <w:pPr>
        <w:tabs>
          <w:tab w:val="num" w:pos="5760"/>
        </w:tabs>
        <w:ind w:left="5760" w:hanging="360"/>
      </w:pPr>
      <w:rPr>
        <w:rFonts w:ascii="Arial" w:hAnsi="Arial" w:hint="default"/>
      </w:rPr>
    </w:lvl>
    <w:lvl w:ilvl="8" w:tplc="C788249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FF"/>
    <w:rsid w:val="00026EE1"/>
    <w:rsid w:val="00043FEA"/>
    <w:rsid w:val="000A3A1B"/>
    <w:rsid w:val="001160AD"/>
    <w:rsid w:val="00130FDE"/>
    <w:rsid w:val="0016455D"/>
    <w:rsid w:val="002201F0"/>
    <w:rsid w:val="00254C58"/>
    <w:rsid w:val="002632EC"/>
    <w:rsid w:val="0032486A"/>
    <w:rsid w:val="00355CE6"/>
    <w:rsid w:val="00390829"/>
    <w:rsid w:val="00550C70"/>
    <w:rsid w:val="00574803"/>
    <w:rsid w:val="005E0BA7"/>
    <w:rsid w:val="005F42FE"/>
    <w:rsid w:val="006309C3"/>
    <w:rsid w:val="00680039"/>
    <w:rsid w:val="006808FF"/>
    <w:rsid w:val="00681DE0"/>
    <w:rsid w:val="006A3B0D"/>
    <w:rsid w:val="00751E9C"/>
    <w:rsid w:val="00773E50"/>
    <w:rsid w:val="007B08EF"/>
    <w:rsid w:val="0083748A"/>
    <w:rsid w:val="00876483"/>
    <w:rsid w:val="008D6A4B"/>
    <w:rsid w:val="008E2722"/>
    <w:rsid w:val="008E7654"/>
    <w:rsid w:val="00952BC1"/>
    <w:rsid w:val="009A17FA"/>
    <w:rsid w:val="009F7423"/>
    <w:rsid w:val="00A5086E"/>
    <w:rsid w:val="00B06645"/>
    <w:rsid w:val="00B91206"/>
    <w:rsid w:val="00BA32E7"/>
    <w:rsid w:val="00C6704F"/>
    <w:rsid w:val="00C7576D"/>
    <w:rsid w:val="00C86C92"/>
    <w:rsid w:val="00C87E70"/>
    <w:rsid w:val="00C93120"/>
    <w:rsid w:val="00CF5327"/>
    <w:rsid w:val="00D06EC5"/>
    <w:rsid w:val="00D16000"/>
    <w:rsid w:val="00D316CD"/>
    <w:rsid w:val="00D823DC"/>
    <w:rsid w:val="00E10457"/>
    <w:rsid w:val="00E527E6"/>
    <w:rsid w:val="00E7641E"/>
    <w:rsid w:val="00EE37D4"/>
    <w:rsid w:val="00F50760"/>
    <w:rsid w:val="00F57BE0"/>
    <w:rsid w:val="00F870E5"/>
    <w:rsid w:val="00FA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AE074"/>
  <w15:docId w15:val="{F1F5B5BD-70D9-4A5D-B1B7-D751F1E7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48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86A"/>
    <w:rPr>
      <w:rFonts w:ascii="Segoe UI" w:hAnsi="Segoe UI" w:cs="Segoe UI"/>
      <w:sz w:val="18"/>
      <w:szCs w:val="18"/>
    </w:rPr>
  </w:style>
  <w:style w:type="paragraph" w:styleId="Header">
    <w:name w:val="header"/>
    <w:basedOn w:val="Normal"/>
    <w:link w:val="HeaderChar"/>
    <w:uiPriority w:val="99"/>
    <w:unhideWhenUsed/>
    <w:rsid w:val="008E2722"/>
    <w:pPr>
      <w:tabs>
        <w:tab w:val="center" w:pos="4680"/>
        <w:tab w:val="right" w:pos="9360"/>
      </w:tabs>
      <w:spacing w:line="240" w:lineRule="auto"/>
    </w:pPr>
  </w:style>
  <w:style w:type="character" w:customStyle="1" w:styleId="HeaderChar">
    <w:name w:val="Header Char"/>
    <w:basedOn w:val="DefaultParagraphFont"/>
    <w:link w:val="Header"/>
    <w:uiPriority w:val="99"/>
    <w:rsid w:val="008E2722"/>
  </w:style>
  <w:style w:type="paragraph" w:styleId="Footer">
    <w:name w:val="footer"/>
    <w:basedOn w:val="Normal"/>
    <w:link w:val="FooterChar"/>
    <w:uiPriority w:val="99"/>
    <w:unhideWhenUsed/>
    <w:rsid w:val="008E2722"/>
    <w:pPr>
      <w:tabs>
        <w:tab w:val="center" w:pos="4680"/>
        <w:tab w:val="right" w:pos="9360"/>
      </w:tabs>
      <w:spacing w:line="240" w:lineRule="auto"/>
    </w:pPr>
  </w:style>
  <w:style w:type="character" w:customStyle="1" w:styleId="FooterChar">
    <w:name w:val="Footer Char"/>
    <w:basedOn w:val="DefaultParagraphFont"/>
    <w:link w:val="Footer"/>
    <w:uiPriority w:val="99"/>
    <w:rsid w:val="008E2722"/>
  </w:style>
  <w:style w:type="character" w:styleId="Strong">
    <w:name w:val="Strong"/>
    <w:basedOn w:val="DefaultParagraphFont"/>
    <w:uiPriority w:val="22"/>
    <w:qFormat/>
    <w:rsid w:val="008E2722"/>
    <w:rPr>
      <w:b/>
      <w:bCs/>
    </w:rPr>
  </w:style>
  <w:style w:type="paragraph" w:styleId="ListParagraph">
    <w:name w:val="List Paragraph"/>
    <w:basedOn w:val="Normal"/>
    <w:uiPriority w:val="34"/>
    <w:qFormat/>
    <w:rsid w:val="008E2722"/>
    <w:pPr>
      <w:ind w:left="720"/>
      <w:contextualSpacing/>
    </w:pPr>
  </w:style>
  <w:style w:type="table" w:styleId="TableGrid">
    <w:name w:val="Table Grid"/>
    <w:basedOn w:val="TableNormal"/>
    <w:uiPriority w:val="39"/>
    <w:rsid w:val="00026E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6E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87E70"/>
    <w:rPr>
      <w:color w:val="0000FF" w:themeColor="hyperlink"/>
      <w:u w:val="single"/>
    </w:rPr>
  </w:style>
  <w:style w:type="character" w:styleId="UnresolvedMention">
    <w:name w:val="Unresolved Mention"/>
    <w:basedOn w:val="DefaultParagraphFont"/>
    <w:uiPriority w:val="99"/>
    <w:semiHidden/>
    <w:unhideWhenUsed/>
    <w:rsid w:val="00C87E70"/>
    <w:rPr>
      <w:color w:val="605E5C"/>
      <w:shd w:val="clear" w:color="auto" w:fill="E1DFDD"/>
    </w:rPr>
  </w:style>
  <w:style w:type="character" w:styleId="FollowedHyperlink">
    <w:name w:val="FollowedHyperlink"/>
    <w:basedOn w:val="DefaultParagraphFont"/>
    <w:uiPriority w:val="99"/>
    <w:semiHidden/>
    <w:unhideWhenUsed/>
    <w:rsid w:val="00751E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94204">
      <w:bodyDiv w:val="1"/>
      <w:marLeft w:val="0"/>
      <w:marRight w:val="0"/>
      <w:marTop w:val="0"/>
      <w:marBottom w:val="0"/>
      <w:divBdr>
        <w:top w:val="none" w:sz="0" w:space="0" w:color="auto"/>
        <w:left w:val="none" w:sz="0" w:space="0" w:color="auto"/>
        <w:bottom w:val="none" w:sz="0" w:space="0" w:color="auto"/>
        <w:right w:val="none" w:sz="0" w:space="0" w:color="auto"/>
      </w:divBdr>
      <w:divsChild>
        <w:div w:id="1557743310">
          <w:marLeft w:val="0"/>
          <w:marRight w:val="0"/>
          <w:marTop w:val="0"/>
          <w:marBottom w:val="0"/>
          <w:divBdr>
            <w:top w:val="none" w:sz="0" w:space="0" w:color="auto"/>
            <w:left w:val="none" w:sz="0" w:space="0" w:color="auto"/>
            <w:bottom w:val="none" w:sz="0" w:space="0" w:color="auto"/>
            <w:right w:val="none" w:sz="0" w:space="0" w:color="auto"/>
          </w:divBdr>
          <w:divsChild>
            <w:div w:id="455873186">
              <w:marLeft w:val="0"/>
              <w:marRight w:val="0"/>
              <w:marTop w:val="0"/>
              <w:marBottom w:val="0"/>
              <w:divBdr>
                <w:top w:val="none" w:sz="0" w:space="0" w:color="auto"/>
                <w:left w:val="none" w:sz="0" w:space="0" w:color="auto"/>
                <w:bottom w:val="none" w:sz="0" w:space="0" w:color="auto"/>
                <w:right w:val="none" w:sz="0" w:space="0" w:color="auto"/>
              </w:divBdr>
              <w:divsChild>
                <w:div w:id="1055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080">
          <w:marLeft w:val="0"/>
          <w:marRight w:val="0"/>
          <w:marTop w:val="0"/>
          <w:marBottom w:val="0"/>
          <w:divBdr>
            <w:top w:val="none" w:sz="0" w:space="0" w:color="auto"/>
            <w:left w:val="none" w:sz="0" w:space="0" w:color="auto"/>
            <w:bottom w:val="none" w:sz="0" w:space="0" w:color="auto"/>
            <w:right w:val="none" w:sz="0" w:space="0" w:color="auto"/>
          </w:divBdr>
          <w:divsChild>
            <w:div w:id="1784957204">
              <w:marLeft w:val="0"/>
              <w:marRight w:val="0"/>
              <w:marTop w:val="0"/>
              <w:marBottom w:val="0"/>
              <w:divBdr>
                <w:top w:val="none" w:sz="0" w:space="0" w:color="auto"/>
                <w:left w:val="none" w:sz="0" w:space="0" w:color="auto"/>
                <w:bottom w:val="none" w:sz="0" w:space="0" w:color="auto"/>
                <w:right w:val="none" w:sz="0" w:space="0" w:color="auto"/>
              </w:divBdr>
              <w:divsChild>
                <w:div w:id="14680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3727">
      <w:bodyDiv w:val="1"/>
      <w:marLeft w:val="0"/>
      <w:marRight w:val="0"/>
      <w:marTop w:val="0"/>
      <w:marBottom w:val="0"/>
      <w:divBdr>
        <w:top w:val="none" w:sz="0" w:space="0" w:color="auto"/>
        <w:left w:val="none" w:sz="0" w:space="0" w:color="auto"/>
        <w:bottom w:val="none" w:sz="0" w:space="0" w:color="auto"/>
        <w:right w:val="none" w:sz="0" w:space="0" w:color="auto"/>
      </w:divBdr>
    </w:div>
    <w:div w:id="947346950">
      <w:bodyDiv w:val="1"/>
      <w:marLeft w:val="0"/>
      <w:marRight w:val="0"/>
      <w:marTop w:val="0"/>
      <w:marBottom w:val="0"/>
      <w:divBdr>
        <w:top w:val="none" w:sz="0" w:space="0" w:color="auto"/>
        <w:left w:val="none" w:sz="0" w:space="0" w:color="auto"/>
        <w:bottom w:val="none" w:sz="0" w:space="0" w:color="auto"/>
        <w:right w:val="none" w:sz="0" w:space="0" w:color="auto"/>
      </w:divBdr>
    </w:div>
    <w:div w:id="999191557">
      <w:bodyDiv w:val="1"/>
      <w:marLeft w:val="0"/>
      <w:marRight w:val="0"/>
      <w:marTop w:val="0"/>
      <w:marBottom w:val="0"/>
      <w:divBdr>
        <w:top w:val="none" w:sz="0" w:space="0" w:color="auto"/>
        <w:left w:val="none" w:sz="0" w:space="0" w:color="auto"/>
        <w:bottom w:val="none" w:sz="0" w:space="0" w:color="auto"/>
        <w:right w:val="none" w:sz="0" w:space="0" w:color="auto"/>
      </w:divBdr>
    </w:div>
    <w:div w:id="1257010544">
      <w:bodyDiv w:val="1"/>
      <w:marLeft w:val="0"/>
      <w:marRight w:val="0"/>
      <w:marTop w:val="0"/>
      <w:marBottom w:val="0"/>
      <w:divBdr>
        <w:top w:val="none" w:sz="0" w:space="0" w:color="auto"/>
        <w:left w:val="none" w:sz="0" w:space="0" w:color="auto"/>
        <w:bottom w:val="none" w:sz="0" w:space="0" w:color="auto"/>
        <w:right w:val="none" w:sz="0" w:space="0" w:color="auto"/>
      </w:divBdr>
    </w:div>
    <w:div w:id="1825733128">
      <w:bodyDiv w:val="1"/>
      <w:marLeft w:val="0"/>
      <w:marRight w:val="0"/>
      <w:marTop w:val="0"/>
      <w:marBottom w:val="0"/>
      <w:divBdr>
        <w:top w:val="none" w:sz="0" w:space="0" w:color="auto"/>
        <w:left w:val="none" w:sz="0" w:space="0" w:color="auto"/>
        <w:bottom w:val="none" w:sz="0" w:space="0" w:color="auto"/>
        <w:right w:val="none" w:sz="0" w:space="0" w:color="auto"/>
      </w:divBdr>
      <w:divsChild>
        <w:div w:id="1456676381">
          <w:marLeft w:val="720"/>
          <w:marRight w:val="0"/>
          <w:marTop w:val="115"/>
          <w:marBottom w:val="120"/>
          <w:divBdr>
            <w:top w:val="none" w:sz="0" w:space="0" w:color="auto"/>
            <w:left w:val="none" w:sz="0" w:space="0" w:color="auto"/>
            <w:bottom w:val="none" w:sz="0" w:space="0" w:color="auto"/>
            <w:right w:val="none" w:sz="0" w:space="0" w:color="auto"/>
          </w:divBdr>
        </w:div>
        <w:div w:id="253704371">
          <w:marLeft w:val="720"/>
          <w:marRight w:val="0"/>
          <w:marTop w:val="115"/>
          <w:marBottom w:val="120"/>
          <w:divBdr>
            <w:top w:val="none" w:sz="0" w:space="0" w:color="auto"/>
            <w:left w:val="none" w:sz="0" w:space="0" w:color="auto"/>
            <w:bottom w:val="none" w:sz="0" w:space="0" w:color="auto"/>
            <w:right w:val="none" w:sz="0" w:space="0" w:color="auto"/>
          </w:divBdr>
        </w:div>
        <w:div w:id="1844315906">
          <w:marLeft w:val="720"/>
          <w:marRight w:val="0"/>
          <w:marTop w:val="115"/>
          <w:marBottom w:val="120"/>
          <w:divBdr>
            <w:top w:val="none" w:sz="0" w:space="0" w:color="auto"/>
            <w:left w:val="none" w:sz="0" w:space="0" w:color="auto"/>
            <w:bottom w:val="none" w:sz="0" w:space="0" w:color="auto"/>
            <w:right w:val="none" w:sz="0" w:space="0" w:color="auto"/>
          </w:divBdr>
        </w:div>
      </w:divsChild>
    </w:div>
    <w:div w:id="2089419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e-learn-sustain.gatech.edu/ho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Jacobs</dc:creator>
  <cp:lastModifiedBy>Bethany Jacobs</cp:lastModifiedBy>
  <cp:revision>3</cp:revision>
  <dcterms:created xsi:type="dcterms:W3CDTF">2018-11-16T15:10:00Z</dcterms:created>
  <dcterms:modified xsi:type="dcterms:W3CDTF">2018-11-16T15:11:00Z</dcterms:modified>
</cp:coreProperties>
</file>