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4C455" w14:textId="77777777" w:rsidR="001A3348" w:rsidRDefault="00CE74D2">
      <w:pPr>
        <w:pStyle w:val="BodyText"/>
        <w:ind w:left="120"/>
        <w:rPr>
          <w:rFonts w:ascii="Times New Roman"/>
          <w:sz w:val="20"/>
        </w:rPr>
      </w:pPr>
      <w:r>
        <w:rPr>
          <w:rFonts w:ascii="Times New Roman"/>
          <w:noProof/>
          <w:sz w:val="20"/>
        </w:rPr>
        <w:drawing>
          <wp:inline distT="0" distB="0" distL="0" distR="0" wp14:anchorId="0DDA1989" wp14:editId="0312435D">
            <wp:extent cx="2075742" cy="45319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075742" cy="453199"/>
                    </a:xfrm>
                    <a:prstGeom prst="rect">
                      <a:avLst/>
                    </a:prstGeom>
                  </pic:spPr>
                </pic:pic>
              </a:graphicData>
            </a:graphic>
          </wp:inline>
        </w:drawing>
      </w:r>
    </w:p>
    <w:p w14:paraId="748CC4F2" w14:textId="77777777" w:rsidR="001A3348" w:rsidRDefault="001A3348">
      <w:pPr>
        <w:pStyle w:val="BodyText"/>
        <w:rPr>
          <w:rFonts w:ascii="Times New Roman"/>
          <w:sz w:val="20"/>
        </w:rPr>
      </w:pPr>
    </w:p>
    <w:p w14:paraId="7623B5D5" w14:textId="77777777" w:rsidR="001A3348" w:rsidRDefault="001A3348">
      <w:pPr>
        <w:pStyle w:val="BodyText"/>
        <w:spacing w:before="8"/>
        <w:rPr>
          <w:rFonts w:ascii="Times New Roman"/>
          <w:sz w:val="17"/>
        </w:rPr>
      </w:pPr>
    </w:p>
    <w:p w14:paraId="5303B173" w14:textId="77777777" w:rsidR="001A3348" w:rsidRDefault="00CE74D2">
      <w:pPr>
        <w:pStyle w:val="Heading1"/>
        <w:spacing w:before="99"/>
        <w:ind w:left="1708"/>
      </w:pPr>
      <w:bookmarkStart w:id="0" w:name="Community_Health_Track_Framework"/>
      <w:bookmarkEnd w:id="0"/>
      <w:r>
        <w:t>Community Health Track Framework</w:t>
      </w:r>
    </w:p>
    <w:p w14:paraId="4FBB7965" w14:textId="77777777" w:rsidR="001A3348" w:rsidRDefault="001A3348">
      <w:pPr>
        <w:pStyle w:val="BodyText"/>
        <w:spacing w:before="2"/>
        <w:rPr>
          <w:rFonts w:ascii="Georgia"/>
          <w:b/>
          <w:sz w:val="34"/>
        </w:rPr>
      </w:pPr>
    </w:p>
    <w:p w14:paraId="662CF1C1" w14:textId="77777777" w:rsidR="001A3348" w:rsidRDefault="00CE74D2">
      <w:pPr>
        <w:pStyle w:val="BodyText"/>
        <w:spacing w:line="259" w:lineRule="auto"/>
        <w:ind w:left="120" w:right="191"/>
        <w:rPr>
          <w:sz w:val="15"/>
        </w:rPr>
      </w:pPr>
      <w:r>
        <w:t>Have you ever considered that your zip code serves as a better predictor of health than your genetic code? Across America, certain communities have worse health and shorter life spans (i.e., up to 20-30 years shorter) than those just down the street. These health inequalities between communities have been attributed to complex relationships between racial, economic, educational, and other social determinants of</w:t>
      </w:r>
      <w:r>
        <w:rPr>
          <w:spacing w:val="3"/>
        </w:rPr>
        <w:t xml:space="preserve"> </w:t>
      </w:r>
      <w:r>
        <w:t>health.</w:t>
      </w:r>
      <w:r>
        <w:rPr>
          <w:position w:val="7"/>
          <w:sz w:val="15"/>
        </w:rPr>
        <w:t>1</w:t>
      </w:r>
    </w:p>
    <w:p w14:paraId="65435FB0" w14:textId="77777777" w:rsidR="001A3348" w:rsidRDefault="001A3348">
      <w:pPr>
        <w:pStyle w:val="BodyText"/>
        <w:spacing w:before="7"/>
        <w:rPr>
          <w:sz w:val="24"/>
        </w:rPr>
      </w:pPr>
    </w:p>
    <w:p w14:paraId="64BAD653" w14:textId="38DF04A0" w:rsidR="001A3348" w:rsidRDefault="00CE74D2">
      <w:pPr>
        <w:pStyle w:val="BodyText"/>
        <w:spacing w:line="259" w:lineRule="auto"/>
        <w:ind w:left="120" w:right="185"/>
      </w:pPr>
      <w:r>
        <w:t>Community health is the state of wellbeing of a group of individuals who share common attitudes, beliefs, interests, histories, and / or goals. The health of a community is influenced by a variety of factors that are internal to the community itself, including the interactions, contributions, and health of individuals in the community, as well as those factors external to the community over which the community has less control. Depending on the nature of a community, external factors may include economic stability, physical environment, education, food, social context, and government policies. As such, community health is both more than the individuals who make up the community, and more than the absence of illness.</w:t>
      </w:r>
    </w:p>
    <w:p w14:paraId="6EBD23DD" w14:textId="77777777" w:rsidR="001A3348" w:rsidRDefault="001A3348">
      <w:pPr>
        <w:pStyle w:val="BodyText"/>
        <w:spacing w:before="7"/>
        <w:rPr>
          <w:sz w:val="24"/>
        </w:rPr>
      </w:pPr>
    </w:p>
    <w:p w14:paraId="6915BCD5" w14:textId="77777777" w:rsidR="001A3348" w:rsidRDefault="00CE74D2">
      <w:pPr>
        <w:pStyle w:val="BodyText"/>
        <w:spacing w:line="259" w:lineRule="auto"/>
        <w:ind w:left="120" w:right="288"/>
        <w:rPr>
          <w:sz w:val="15"/>
        </w:rPr>
      </w:pPr>
      <w:r>
        <w:t xml:space="preserve">Public health professionals have adopted various conceptual frameworks, such as the </w:t>
      </w:r>
      <w:hyperlink r:id="rId5">
        <w:r>
          <w:rPr>
            <w:color w:val="0000FF"/>
            <w:u w:val="single" w:color="0000FF"/>
          </w:rPr>
          <w:t>Community Health Framework by the United States Agency of International Development</w:t>
        </w:r>
      </w:hyperlink>
      <w:r>
        <w:rPr>
          <w:color w:val="0000FF"/>
        </w:rPr>
        <w:t xml:space="preserve"> </w:t>
      </w:r>
      <w:hyperlink r:id="rId6">
        <w:r>
          <w:rPr>
            <w:color w:val="0000FF"/>
            <w:u w:val="single" w:color="0000FF"/>
          </w:rPr>
          <w:t>(USAID)</w:t>
        </w:r>
      </w:hyperlink>
      <w:r>
        <w:t xml:space="preserve">, </w:t>
      </w:r>
      <w:hyperlink r:id="rId7">
        <w:r>
          <w:rPr>
            <w:color w:val="0000FF"/>
            <w:u w:val="single" w:color="0000FF"/>
          </w:rPr>
          <w:t>International Classification of Functioning, Disability and Health (</w:t>
        </w:r>
        <w:proofErr w:type="spellStart"/>
        <w:r>
          <w:rPr>
            <w:color w:val="0000FF"/>
            <w:u w:val="single" w:color="0000FF"/>
          </w:rPr>
          <w:t>ICF</w:t>
        </w:r>
        <w:proofErr w:type="spellEnd"/>
        <w:r>
          <w:rPr>
            <w:color w:val="0000FF"/>
            <w:u w:val="single" w:color="0000FF"/>
          </w:rPr>
          <w:t>) Model</w:t>
        </w:r>
      </w:hyperlink>
      <w:r>
        <w:t xml:space="preserve">, and </w:t>
      </w:r>
      <w:hyperlink r:id="rId8">
        <w:r>
          <w:rPr>
            <w:color w:val="0000FF"/>
            <w:u w:val="single" w:color="0000FF"/>
          </w:rPr>
          <w:t>Social Ecological Model</w:t>
        </w:r>
        <w:r>
          <w:rPr>
            <w:color w:val="0000FF"/>
          </w:rPr>
          <w:t xml:space="preserve"> </w:t>
        </w:r>
        <w:r>
          <w:t>i</w:t>
        </w:r>
      </w:hyperlink>
      <w:r>
        <w:t xml:space="preserve">n order to better understand those factors that impact both individual and community health. These frameworks inform work at the community level to help promote healthy living, reduce chronic disease, and ultimately “bring the greatest health benefits to the greatest number of people in need.” </w:t>
      </w:r>
      <w:r>
        <w:rPr>
          <w:position w:val="7"/>
          <w:sz w:val="15"/>
        </w:rPr>
        <w:t>2</w:t>
      </w:r>
    </w:p>
    <w:p w14:paraId="01FA38C9" w14:textId="77777777" w:rsidR="001A3348" w:rsidRDefault="001A3348">
      <w:pPr>
        <w:pStyle w:val="BodyText"/>
        <w:spacing w:before="7"/>
        <w:rPr>
          <w:sz w:val="24"/>
        </w:rPr>
      </w:pPr>
    </w:p>
    <w:p w14:paraId="77611EBA" w14:textId="77777777" w:rsidR="001A3348" w:rsidRDefault="00CE74D2">
      <w:pPr>
        <w:pStyle w:val="BodyText"/>
        <w:spacing w:line="259" w:lineRule="auto"/>
        <w:ind w:left="119" w:right="153"/>
      </w:pPr>
      <w:r>
        <w:t>In the SLS Community Health track, students will learn about community health through a transdisciplinary approach — an integrated study that creates a unity of intellectual frameworks that transcends the perspective of any one discipline.</w:t>
      </w:r>
      <w:r>
        <w:rPr>
          <w:position w:val="7"/>
          <w:sz w:val="15"/>
        </w:rPr>
        <w:t xml:space="preserve">3 </w:t>
      </w:r>
      <w:r>
        <w:t>Through coursework and engagement with local community partners</w:t>
      </w:r>
      <w:r>
        <w:rPr>
          <w:b/>
        </w:rPr>
        <w:t xml:space="preserve">, </w:t>
      </w:r>
      <w:r>
        <w:t>students will gain both discipline-specific depth and cross-discipline breadth in developing an understanding of 1) community health, 2) the interactions between contextual factors and individual capabilities, and 3) the effects of these factors on human activity and social participation. Students will be able to link different aspects of health and sustainability at the community level, and develop</w:t>
      </w:r>
      <w:r>
        <w:rPr>
          <w:spacing w:val="-28"/>
        </w:rPr>
        <w:t xml:space="preserve"> </w:t>
      </w:r>
      <w:r>
        <w:t>integrated, coherent solutions for identified community health issues by participating in this SLS</w:t>
      </w:r>
      <w:r>
        <w:rPr>
          <w:spacing w:val="-38"/>
        </w:rPr>
        <w:t xml:space="preserve"> </w:t>
      </w:r>
      <w:r>
        <w:t>track.</w:t>
      </w:r>
    </w:p>
    <w:p w14:paraId="63E4D01D" w14:textId="77777777" w:rsidR="001A3348" w:rsidRDefault="00CE74D2">
      <w:pPr>
        <w:pStyle w:val="BodyText"/>
        <w:spacing w:before="2"/>
        <w:rPr>
          <w:sz w:val="25"/>
        </w:rPr>
      </w:pPr>
      <w:r>
        <w:rPr>
          <w:noProof/>
        </w:rPr>
        <mc:AlternateContent>
          <mc:Choice Requires="wps">
            <w:drawing>
              <wp:anchor distT="0" distB="0" distL="0" distR="0" simplePos="0" relativeHeight="251657728" behindDoc="1" locked="0" layoutInCell="1" allowOverlap="1" wp14:anchorId="6EAEE8CD" wp14:editId="4725EC26">
                <wp:simplePos x="0" y="0"/>
                <wp:positionH relativeFrom="page">
                  <wp:posOffset>914400</wp:posOffset>
                </wp:positionH>
                <wp:positionV relativeFrom="paragraph">
                  <wp:posOffset>213995</wp:posOffset>
                </wp:positionV>
                <wp:extent cx="1829435" cy="0"/>
                <wp:effectExtent l="9525" t="6985" r="8890" b="1206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D5F65"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85pt" to="216.0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" strokeweight=".72pt">
                <w10:wrap type="topAndBottom" anchorx="page"/>
              </v:line>
            </w:pict>
          </mc:Fallback>
        </mc:AlternateContent>
      </w:r>
    </w:p>
    <w:p w14:paraId="5C10D3C2" w14:textId="77777777" w:rsidR="001A3348" w:rsidRDefault="00CE74D2">
      <w:pPr>
        <w:spacing w:before="40" w:line="261" w:lineRule="auto"/>
        <w:ind w:left="120"/>
        <w:rPr>
          <w:sz w:val="20"/>
        </w:rPr>
      </w:pPr>
      <w:r>
        <w:rPr>
          <w:w w:val="95"/>
          <w:position w:val="8"/>
          <w:sz w:val="14"/>
        </w:rPr>
        <w:t>1</w:t>
      </w:r>
      <w:r>
        <w:rPr>
          <w:spacing w:val="-21"/>
          <w:w w:val="95"/>
          <w:position w:val="8"/>
          <w:sz w:val="14"/>
        </w:rPr>
        <w:t xml:space="preserve"> </w:t>
      </w:r>
      <w:r>
        <w:rPr>
          <w:w w:val="95"/>
          <w:sz w:val="20"/>
        </w:rPr>
        <w:t>Graham,</w:t>
      </w:r>
      <w:r>
        <w:rPr>
          <w:spacing w:val="-18"/>
          <w:w w:val="95"/>
          <w:sz w:val="20"/>
        </w:rPr>
        <w:t xml:space="preserve"> </w:t>
      </w:r>
      <w:r>
        <w:rPr>
          <w:w w:val="95"/>
          <w:sz w:val="20"/>
        </w:rPr>
        <w:t>Garth</w:t>
      </w:r>
      <w:r>
        <w:rPr>
          <w:spacing w:val="-18"/>
          <w:w w:val="95"/>
          <w:sz w:val="20"/>
        </w:rPr>
        <w:t xml:space="preserve"> </w:t>
      </w:r>
      <w:r>
        <w:rPr>
          <w:w w:val="95"/>
          <w:sz w:val="20"/>
        </w:rPr>
        <w:t>N.</w:t>
      </w:r>
      <w:r>
        <w:rPr>
          <w:spacing w:val="-18"/>
          <w:w w:val="95"/>
          <w:sz w:val="20"/>
        </w:rPr>
        <w:t xml:space="preserve"> </w:t>
      </w:r>
      <w:r>
        <w:rPr>
          <w:w w:val="95"/>
          <w:sz w:val="20"/>
        </w:rPr>
        <w:t>"Why</w:t>
      </w:r>
      <w:r>
        <w:rPr>
          <w:spacing w:val="-17"/>
          <w:w w:val="95"/>
          <w:sz w:val="20"/>
        </w:rPr>
        <w:t xml:space="preserve"> </w:t>
      </w:r>
      <w:r>
        <w:rPr>
          <w:w w:val="95"/>
          <w:sz w:val="20"/>
        </w:rPr>
        <w:t>your</w:t>
      </w:r>
      <w:r>
        <w:rPr>
          <w:spacing w:val="-20"/>
          <w:w w:val="95"/>
          <w:sz w:val="20"/>
        </w:rPr>
        <w:t xml:space="preserve"> </w:t>
      </w:r>
      <w:r>
        <w:rPr>
          <w:w w:val="95"/>
          <w:sz w:val="20"/>
        </w:rPr>
        <w:t>ZIP</w:t>
      </w:r>
      <w:r>
        <w:rPr>
          <w:spacing w:val="-18"/>
          <w:w w:val="95"/>
          <w:sz w:val="20"/>
        </w:rPr>
        <w:t xml:space="preserve"> </w:t>
      </w:r>
      <w:r>
        <w:rPr>
          <w:w w:val="95"/>
          <w:sz w:val="20"/>
        </w:rPr>
        <w:t>code</w:t>
      </w:r>
      <w:r>
        <w:rPr>
          <w:spacing w:val="-19"/>
          <w:w w:val="95"/>
          <w:sz w:val="20"/>
        </w:rPr>
        <w:t xml:space="preserve"> </w:t>
      </w:r>
      <w:r>
        <w:rPr>
          <w:w w:val="95"/>
          <w:sz w:val="20"/>
        </w:rPr>
        <w:t>matters</w:t>
      </w:r>
      <w:r>
        <w:rPr>
          <w:spacing w:val="-17"/>
          <w:w w:val="95"/>
          <w:sz w:val="20"/>
        </w:rPr>
        <w:t xml:space="preserve"> </w:t>
      </w:r>
      <w:r>
        <w:rPr>
          <w:w w:val="95"/>
          <w:sz w:val="20"/>
        </w:rPr>
        <w:t>more</w:t>
      </w:r>
      <w:r>
        <w:rPr>
          <w:spacing w:val="-18"/>
          <w:w w:val="95"/>
          <w:sz w:val="20"/>
        </w:rPr>
        <w:t xml:space="preserve"> </w:t>
      </w:r>
      <w:r>
        <w:rPr>
          <w:w w:val="95"/>
          <w:sz w:val="20"/>
        </w:rPr>
        <w:t>than</w:t>
      </w:r>
      <w:r>
        <w:rPr>
          <w:spacing w:val="-18"/>
          <w:w w:val="95"/>
          <w:sz w:val="20"/>
        </w:rPr>
        <w:t xml:space="preserve"> </w:t>
      </w:r>
      <w:r>
        <w:rPr>
          <w:w w:val="95"/>
          <w:sz w:val="20"/>
        </w:rPr>
        <w:t>your</w:t>
      </w:r>
      <w:r>
        <w:rPr>
          <w:spacing w:val="-18"/>
          <w:w w:val="95"/>
          <w:sz w:val="20"/>
        </w:rPr>
        <w:t xml:space="preserve"> </w:t>
      </w:r>
      <w:r>
        <w:rPr>
          <w:w w:val="95"/>
          <w:sz w:val="20"/>
        </w:rPr>
        <w:t>genetic</w:t>
      </w:r>
      <w:r>
        <w:rPr>
          <w:spacing w:val="-18"/>
          <w:w w:val="95"/>
          <w:sz w:val="20"/>
        </w:rPr>
        <w:t xml:space="preserve"> </w:t>
      </w:r>
      <w:r>
        <w:rPr>
          <w:w w:val="95"/>
          <w:sz w:val="20"/>
        </w:rPr>
        <w:t>code:</w:t>
      </w:r>
      <w:r>
        <w:rPr>
          <w:spacing w:val="-19"/>
          <w:w w:val="95"/>
          <w:sz w:val="20"/>
        </w:rPr>
        <w:t xml:space="preserve"> </w:t>
      </w:r>
      <w:r>
        <w:rPr>
          <w:w w:val="95"/>
          <w:sz w:val="20"/>
        </w:rPr>
        <w:t>promoting</w:t>
      </w:r>
      <w:r>
        <w:rPr>
          <w:spacing w:val="-18"/>
          <w:w w:val="95"/>
          <w:sz w:val="20"/>
        </w:rPr>
        <w:t xml:space="preserve"> </w:t>
      </w:r>
      <w:r>
        <w:rPr>
          <w:w w:val="95"/>
          <w:sz w:val="20"/>
        </w:rPr>
        <w:t>healthy</w:t>
      </w:r>
      <w:r>
        <w:rPr>
          <w:spacing w:val="-18"/>
          <w:w w:val="95"/>
          <w:sz w:val="20"/>
        </w:rPr>
        <w:t xml:space="preserve"> </w:t>
      </w:r>
      <w:r>
        <w:rPr>
          <w:w w:val="95"/>
          <w:sz w:val="20"/>
        </w:rPr>
        <w:t>outcomes</w:t>
      </w:r>
      <w:r>
        <w:rPr>
          <w:spacing w:val="-19"/>
          <w:w w:val="95"/>
          <w:sz w:val="20"/>
        </w:rPr>
        <w:t xml:space="preserve"> </w:t>
      </w:r>
      <w:r>
        <w:rPr>
          <w:w w:val="95"/>
          <w:sz w:val="20"/>
        </w:rPr>
        <w:t xml:space="preserve">from </w:t>
      </w:r>
      <w:r>
        <w:rPr>
          <w:sz w:val="20"/>
        </w:rPr>
        <w:t>mother</w:t>
      </w:r>
      <w:r>
        <w:rPr>
          <w:spacing w:val="-15"/>
          <w:sz w:val="20"/>
        </w:rPr>
        <w:t xml:space="preserve"> </w:t>
      </w:r>
      <w:r>
        <w:rPr>
          <w:sz w:val="20"/>
        </w:rPr>
        <w:t>to</w:t>
      </w:r>
      <w:r>
        <w:rPr>
          <w:spacing w:val="-15"/>
          <w:sz w:val="20"/>
        </w:rPr>
        <w:t xml:space="preserve"> </w:t>
      </w:r>
      <w:r>
        <w:rPr>
          <w:sz w:val="20"/>
        </w:rPr>
        <w:t>child."</w:t>
      </w:r>
      <w:r>
        <w:rPr>
          <w:spacing w:val="-15"/>
          <w:sz w:val="20"/>
        </w:rPr>
        <w:t xml:space="preserve"> </w:t>
      </w:r>
      <w:r>
        <w:rPr>
          <w:i/>
          <w:sz w:val="20"/>
        </w:rPr>
        <w:t>Breastfeeding</w:t>
      </w:r>
      <w:r>
        <w:rPr>
          <w:i/>
          <w:spacing w:val="-14"/>
          <w:sz w:val="20"/>
        </w:rPr>
        <w:t xml:space="preserve"> </w:t>
      </w:r>
      <w:r>
        <w:rPr>
          <w:i/>
          <w:sz w:val="20"/>
        </w:rPr>
        <w:t>Medicine</w:t>
      </w:r>
      <w:r>
        <w:rPr>
          <w:i/>
          <w:spacing w:val="-15"/>
          <w:sz w:val="20"/>
        </w:rPr>
        <w:t xml:space="preserve"> </w:t>
      </w:r>
      <w:r>
        <w:rPr>
          <w:sz w:val="20"/>
        </w:rPr>
        <w:t>11,</w:t>
      </w:r>
      <w:r>
        <w:rPr>
          <w:spacing w:val="-15"/>
          <w:sz w:val="20"/>
        </w:rPr>
        <w:t xml:space="preserve"> </w:t>
      </w:r>
      <w:r>
        <w:rPr>
          <w:sz w:val="20"/>
        </w:rPr>
        <w:t>no.</w:t>
      </w:r>
      <w:r>
        <w:rPr>
          <w:spacing w:val="-14"/>
          <w:sz w:val="20"/>
        </w:rPr>
        <w:t xml:space="preserve"> </w:t>
      </w:r>
      <w:r>
        <w:rPr>
          <w:sz w:val="20"/>
        </w:rPr>
        <w:t>8</w:t>
      </w:r>
      <w:r>
        <w:rPr>
          <w:spacing w:val="-15"/>
          <w:sz w:val="20"/>
        </w:rPr>
        <w:t xml:space="preserve"> </w:t>
      </w:r>
      <w:r>
        <w:rPr>
          <w:sz w:val="20"/>
        </w:rPr>
        <w:t>(2016):</w:t>
      </w:r>
      <w:r>
        <w:rPr>
          <w:spacing w:val="-16"/>
          <w:sz w:val="20"/>
        </w:rPr>
        <w:t xml:space="preserve"> </w:t>
      </w:r>
      <w:r>
        <w:rPr>
          <w:sz w:val="20"/>
        </w:rPr>
        <w:t>396-397.</w:t>
      </w:r>
    </w:p>
    <w:p w14:paraId="0C98908C" w14:textId="77777777" w:rsidR="001A3348" w:rsidRDefault="00CE74D2">
      <w:pPr>
        <w:spacing w:line="240" w:lineRule="exact"/>
        <w:ind w:left="120"/>
        <w:rPr>
          <w:sz w:val="20"/>
        </w:rPr>
      </w:pPr>
      <w:r>
        <w:rPr>
          <w:position w:val="8"/>
          <w:sz w:val="14"/>
        </w:rPr>
        <w:t xml:space="preserve">2 </w:t>
      </w:r>
      <w:r>
        <w:rPr>
          <w:sz w:val="20"/>
        </w:rPr>
        <w:t>US Centers for Disease Control and Prevention, “NCCDPHP: Community Health,” (November 21, 2017),</w:t>
      </w:r>
    </w:p>
    <w:p w14:paraId="53EE00E2" w14:textId="77777777" w:rsidR="001A3348" w:rsidRDefault="00CE74D2">
      <w:pPr>
        <w:spacing w:before="22"/>
        <w:ind w:left="120"/>
        <w:rPr>
          <w:sz w:val="20"/>
        </w:rPr>
      </w:pPr>
      <w:r>
        <w:rPr>
          <w:sz w:val="20"/>
        </w:rPr>
        <w:t>https</w:t>
      </w:r>
      <w:hyperlink r:id="rId9">
        <w:r>
          <w:rPr>
            <w:sz w:val="20"/>
          </w:rPr>
          <w:t>://w</w:t>
        </w:r>
      </w:hyperlink>
      <w:r>
        <w:rPr>
          <w:sz w:val="20"/>
        </w:rPr>
        <w:t>w</w:t>
      </w:r>
      <w:hyperlink r:id="rId10">
        <w:r>
          <w:rPr>
            <w:sz w:val="20"/>
          </w:rPr>
          <w:t>w.cdc.gov/nccdphp/dch/about/index.htm.</w:t>
        </w:r>
      </w:hyperlink>
    </w:p>
    <w:p w14:paraId="6CA4B684" w14:textId="77777777" w:rsidR="001A3348" w:rsidRDefault="00CE74D2">
      <w:pPr>
        <w:spacing w:before="11" w:line="283" w:lineRule="auto"/>
        <w:ind w:left="120"/>
        <w:rPr>
          <w:sz w:val="20"/>
        </w:rPr>
      </w:pPr>
      <w:r>
        <w:rPr>
          <w:w w:val="95"/>
          <w:position w:val="8"/>
          <w:sz w:val="14"/>
        </w:rPr>
        <w:t>3</w:t>
      </w:r>
      <w:r>
        <w:rPr>
          <w:spacing w:val="-28"/>
          <w:w w:val="95"/>
          <w:position w:val="8"/>
          <w:sz w:val="14"/>
        </w:rPr>
        <w:t xml:space="preserve"> </w:t>
      </w:r>
      <w:proofErr w:type="spellStart"/>
      <w:r>
        <w:rPr>
          <w:w w:val="95"/>
          <w:sz w:val="20"/>
        </w:rPr>
        <w:t>Stember</w:t>
      </w:r>
      <w:proofErr w:type="spellEnd"/>
      <w:r>
        <w:rPr>
          <w:w w:val="95"/>
          <w:sz w:val="20"/>
        </w:rPr>
        <w:t>,</w:t>
      </w:r>
      <w:r>
        <w:rPr>
          <w:spacing w:val="-31"/>
          <w:w w:val="95"/>
          <w:sz w:val="20"/>
        </w:rPr>
        <w:t xml:space="preserve"> </w:t>
      </w:r>
      <w:r>
        <w:rPr>
          <w:w w:val="95"/>
          <w:sz w:val="20"/>
        </w:rPr>
        <w:t>Marilyn.</w:t>
      </w:r>
      <w:r>
        <w:rPr>
          <w:spacing w:val="-31"/>
          <w:w w:val="95"/>
          <w:sz w:val="20"/>
        </w:rPr>
        <w:t xml:space="preserve"> </w:t>
      </w:r>
      <w:r>
        <w:rPr>
          <w:w w:val="95"/>
          <w:sz w:val="20"/>
        </w:rPr>
        <w:t>"Advancing</w:t>
      </w:r>
      <w:r>
        <w:rPr>
          <w:spacing w:val="-32"/>
          <w:w w:val="95"/>
          <w:sz w:val="20"/>
        </w:rPr>
        <w:t xml:space="preserve"> </w:t>
      </w:r>
      <w:r>
        <w:rPr>
          <w:w w:val="95"/>
          <w:sz w:val="20"/>
        </w:rPr>
        <w:t>the</w:t>
      </w:r>
      <w:r>
        <w:rPr>
          <w:spacing w:val="-32"/>
          <w:w w:val="95"/>
          <w:sz w:val="20"/>
        </w:rPr>
        <w:t xml:space="preserve"> </w:t>
      </w:r>
      <w:r>
        <w:rPr>
          <w:w w:val="95"/>
          <w:sz w:val="20"/>
        </w:rPr>
        <w:t>social</w:t>
      </w:r>
      <w:r>
        <w:rPr>
          <w:spacing w:val="-32"/>
          <w:w w:val="95"/>
          <w:sz w:val="20"/>
        </w:rPr>
        <w:t xml:space="preserve"> </w:t>
      </w:r>
      <w:r>
        <w:rPr>
          <w:w w:val="95"/>
          <w:sz w:val="20"/>
        </w:rPr>
        <w:t>sciences</w:t>
      </w:r>
      <w:r>
        <w:rPr>
          <w:spacing w:val="-32"/>
          <w:w w:val="95"/>
          <w:sz w:val="20"/>
        </w:rPr>
        <w:t xml:space="preserve"> </w:t>
      </w:r>
      <w:r>
        <w:rPr>
          <w:w w:val="95"/>
          <w:sz w:val="20"/>
        </w:rPr>
        <w:t>through</w:t>
      </w:r>
      <w:r>
        <w:rPr>
          <w:spacing w:val="-31"/>
          <w:w w:val="95"/>
          <w:sz w:val="20"/>
        </w:rPr>
        <w:t xml:space="preserve"> </w:t>
      </w:r>
      <w:r>
        <w:rPr>
          <w:w w:val="95"/>
          <w:sz w:val="20"/>
        </w:rPr>
        <w:t>the</w:t>
      </w:r>
      <w:r>
        <w:rPr>
          <w:spacing w:val="-32"/>
          <w:w w:val="95"/>
          <w:sz w:val="20"/>
        </w:rPr>
        <w:t xml:space="preserve"> </w:t>
      </w:r>
      <w:r>
        <w:rPr>
          <w:w w:val="95"/>
          <w:sz w:val="20"/>
        </w:rPr>
        <w:t>interdisciplinary</w:t>
      </w:r>
      <w:r>
        <w:rPr>
          <w:spacing w:val="-31"/>
          <w:w w:val="95"/>
          <w:sz w:val="20"/>
        </w:rPr>
        <w:t xml:space="preserve"> </w:t>
      </w:r>
      <w:r>
        <w:rPr>
          <w:w w:val="95"/>
          <w:sz w:val="20"/>
        </w:rPr>
        <w:t>enterprise."</w:t>
      </w:r>
      <w:r>
        <w:rPr>
          <w:spacing w:val="-32"/>
          <w:w w:val="95"/>
          <w:sz w:val="20"/>
        </w:rPr>
        <w:t xml:space="preserve"> </w:t>
      </w:r>
      <w:r>
        <w:rPr>
          <w:i/>
          <w:w w:val="95"/>
          <w:sz w:val="20"/>
        </w:rPr>
        <w:t>The</w:t>
      </w:r>
      <w:r>
        <w:rPr>
          <w:i/>
          <w:spacing w:val="-31"/>
          <w:w w:val="95"/>
          <w:sz w:val="20"/>
        </w:rPr>
        <w:t xml:space="preserve"> </w:t>
      </w:r>
      <w:r>
        <w:rPr>
          <w:i/>
          <w:w w:val="95"/>
          <w:sz w:val="20"/>
        </w:rPr>
        <w:t>Social</w:t>
      </w:r>
      <w:r>
        <w:rPr>
          <w:i/>
          <w:spacing w:val="-32"/>
          <w:w w:val="95"/>
          <w:sz w:val="20"/>
        </w:rPr>
        <w:t xml:space="preserve"> </w:t>
      </w:r>
      <w:r>
        <w:rPr>
          <w:i/>
          <w:w w:val="95"/>
          <w:sz w:val="20"/>
        </w:rPr>
        <w:t xml:space="preserve">Science </w:t>
      </w:r>
      <w:r>
        <w:rPr>
          <w:i/>
          <w:sz w:val="20"/>
        </w:rPr>
        <w:t>Journal</w:t>
      </w:r>
      <w:r>
        <w:rPr>
          <w:i/>
          <w:spacing w:val="-12"/>
          <w:sz w:val="20"/>
        </w:rPr>
        <w:t xml:space="preserve"> </w:t>
      </w:r>
      <w:r>
        <w:rPr>
          <w:sz w:val="20"/>
        </w:rPr>
        <w:t>28,</w:t>
      </w:r>
      <w:r>
        <w:rPr>
          <w:spacing w:val="-12"/>
          <w:sz w:val="20"/>
        </w:rPr>
        <w:t xml:space="preserve"> </w:t>
      </w:r>
      <w:r>
        <w:rPr>
          <w:sz w:val="20"/>
        </w:rPr>
        <w:t>no.</w:t>
      </w:r>
      <w:r>
        <w:rPr>
          <w:spacing w:val="-11"/>
          <w:sz w:val="20"/>
        </w:rPr>
        <w:t xml:space="preserve"> </w:t>
      </w:r>
      <w:r>
        <w:rPr>
          <w:sz w:val="20"/>
        </w:rPr>
        <w:t>1</w:t>
      </w:r>
      <w:r>
        <w:rPr>
          <w:spacing w:val="-13"/>
          <w:sz w:val="20"/>
        </w:rPr>
        <w:t xml:space="preserve"> </w:t>
      </w:r>
      <w:r>
        <w:rPr>
          <w:sz w:val="20"/>
        </w:rPr>
        <w:t>(1991):</w:t>
      </w:r>
      <w:r>
        <w:rPr>
          <w:spacing w:val="-12"/>
          <w:sz w:val="20"/>
        </w:rPr>
        <w:t xml:space="preserve"> </w:t>
      </w:r>
      <w:r>
        <w:rPr>
          <w:sz w:val="20"/>
        </w:rPr>
        <w:t>1-14.</w:t>
      </w:r>
    </w:p>
    <w:p w14:paraId="05FACCAF" w14:textId="77777777" w:rsidR="001A3348" w:rsidRDefault="001A3348">
      <w:pPr>
        <w:spacing w:line="283" w:lineRule="auto"/>
        <w:rPr>
          <w:sz w:val="20"/>
        </w:rPr>
        <w:sectPr w:rsidR="001A3348">
          <w:type w:val="continuous"/>
          <w:pgSz w:w="12240" w:h="15840"/>
          <w:pgMar w:top="320" w:right="1300" w:bottom="280" w:left="1320" w:header="720" w:footer="720" w:gutter="0"/>
          <w:cols w:space="720"/>
        </w:sectPr>
      </w:pPr>
    </w:p>
    <w:p w14:paraId="018B0A41" w14:textId="77777777" w:rsidR="001A3348" w:rsidRDefault="00CE74D2">
      <w:pPr>
        <w:pStyle w:val="Heading1"/>
        <w:spacing w:before="77"/>
      </w:pPr>
      <w:bookmarkStart w:id="1" w:name="Community_Health_Track_Key_Concepts"/>
      <w:bookmarkEnd w:id="1"/>
      <w:r>
        <w:lastRenderedPageBreak/>
        <w:t>Community Health Track Key Concepts</w:t>
      </w:r>
    </w:p>
    <w:p w14:paraId="4E150753" w14:textId="77777777" w:rsidR="001A3348" w:rsidRDefault="001A3348">
      <w:pPr>
        <w:pStyle w:val="BodyText"/>
        <w:spacing w:before="2"/>
        <w:rPr>
          <w:rFonts w:ascii="Georgia"/>
          <w:b/>
          <w:sz w:val="34"/>
        </w:rPr>
      </w:pPr>
    </w:p>
    <w:p w14:paraId="17C6DF56" w14:textId="77777777" w:rsidR="001A3348" w:rsidRDefault="00CE74D2">
      <w:pPr>
        <w:pStyle w:val="BodyText"/>
        <w:spacing w:line="259" w:lineRule="auto"/>
        <w:ind w:left="119" w:right="185"/>
      </w:pPr>
      <w:r>
        <w:t>In the coming weeks, let us consider how the issues we’re discussing relate to each of us. We have many different roles in life such as that of a citizen, a human being, and a future professional. In all of these capacities, it is important to consider carefully how our choices impact society, culture, the economy, and the environment. We will use the key concepts below to guide our thinking and learning as we move forward.</w:t>
      </w:r>
    </w:p>
    <w:p w14:paraId="43729F90" w14:textId="77777777" w:rsidR="001A3348" w:rsidRDefault="001A3348">
      <w:pPr>
        <w:pStyle w:val="BodyText"/>
        <w:rPr>
          <w:sz w:val="20"/>
        </w:rPr>
      </w:pPr>
    </w:p>
    <w:p w14:paraId="1F602F6E" w14:textId="77777777" w:rsidR="001A3348" w:rsidRDefault="001A3348">
      <w:pPr>
        <w:pStyle w:val="BodyText"/>
        <w:rPr>
          <w:sz w:val="20"/>
        </w:rPr>
      </w:pPr>
      <w:bookmarkStart w:id="2" w:name="_GoBack"/>
      <w:bookmarkEnd w:id="2"/>
    </w:p>
    <w:p w14:paraId="480859D0" w14:textId="77777777" w:rsidR="001A3348" w:rsidRDefault="001A3348">
      <w:pPr>
        <w:pStyle w:val="BodyText"/>
        <w:spacing w:before="8" w:after="1"/>
        <w:rPr>
          <w:sz w:val="12"/>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3331"/>
        <w:gridCol w:w="5340"/>
      </w:tblGrid>
      <w:tr w:rsidR="001A3348" w14:paraId="3016B560" w14:textId="77777777">
        <w:trPr>
          <w:trHeight w:val="1206"/>
        </w:trPr>
        <w:tc>
          <w:tcPr>
            <w:tcW w:w="571" w:type="dxa"/>
            <w:shd w:val="clear" w:color="auto" w:fill="DBE4F0"/>
          </w:tcPr>
          <w:p w14:paraId="036A6C04" w14:textId="77777777" w:rsidR="001A3348" w:rsidRDefault="001A3348">
            <w:pPr>
              <w:pStyle w:val="TableParagraph"/>
              <w:rPr>
                <w:sz w:val="26"/>
              </w:rPr>
            </w:pPr>
          </w:p>
          <w:p w14:paraId="24BE74B3" w14:textId="77777777" w:rsidR="001A3348" w:rsidRDefault="00CE74D2">
            <w:pPr>
              <w:pStyle w:val="TableParagraph"/>
              <w:spacing w:before="171"/>
              <w:ind w:left="137" w:right="128"/>
              <w:jc w:val="center"/>
              <w:rPr>
                <w:sz w:val="23"/>
              </w:rPr>
            </w:pPr>
            <w:r>
              <w:rPr>
                <w:sz w:val="23"/>
              </w:rPr>
              <w:t>#1</w:t>
            </w:r>
          </w:p>
        </w:tc>
        <w:tc>
          <w:tcPr>
            <w:tcW w:w="3331" w:type="dxa"/>
            <w:shd w:val="clear" w:color="auto" w:fill="DBE4F0"/>
          </w:tcPr>
          <w:p w14:paraId="398FC70D" w14:textId="77777777" w:rsidR="001A3348" w:rsidRDefault="001A3348">
            <w:pPr>
              <w:pStyle w:val="TableParagraph"/>
              <w:spacing w:before="2"/>
              <w:rPr>
                <w:sz w:val="29"/>
              </w:rPr>
            </w:pPr>
          </w:p>
          <w:p w14:paraId="5BD41743" w14:textId="77777777" w:rsidR="001A3348" w:rsidRDefault="00CE74D2">
            <w:pPr>
              <w:pStyle w:val="TableParagraph"/>
              <w:ind w:left="95" w:right="150"/>
              <w:rPr>
                <w:i/>
                <w:sz w:val="23"/>
              </w:rPr>
            </w:pPr>
            <w:r>
              <w:rPr>
                <w:i/>
                <w:sz w:val="23"/>
              </w:rPr>
              <w:t>All aspects of life contribute to health and wellbeing.</w:t>
            </w:r>
          </w:p>
        </w:tc>
        <w:tc>
          <w:tcPr>
            <w:tcW w:w="5340" w:type="dxa"/>
            <w:shd w:val="clear" w:color="auto" w:fill="DBE4F0"/>
          </w:tcPr>
          <w:p w14:paraId="728D4180" w14:textId="77777777" w:rsidR="001A3348" w:rsidRDefault="00CE74D2">
            <w:pPr>
              <w:pStyle w:val="TableParagraph"/>
              <w:spacing w:before="74"/>
              <w:ind w:left="93" w:right="180"/>
              <w:rPr>
                <w:sz w:val="23"/>
              </w:rPr>
            </w:pPr>
            <w:r>
              <w:rPr>
                <w:sz w:val="23"/>
              </w:rPr>
              <w:t>The environmental, political, intellectual, physical, emotional, financial, spiritual, and social aspects of life influence the health outcomes and wellbeing of both an individual and community.</w:t>
            </w:r>
          </w:p>
        </w:tc>
      </w:tr>
      <w:tr w:rsidR="001A3348" w14:paraId="20F3008E" w14:textId="77777777">
        <w:trPr>
          <w:trHeight w:val="1737"/>
        </w:trPr>
        <w:tc>
          <w:tcPr>
            <w:tcW w:w="571" w:type="dxa"/>
          </w:tcPr>
          <w:p w14:paraId="7238F0AC" w14:textId="77777777" w:rsidR="001A3348" w:rsidRDefault="001A3348">
            <w:pPr>
              <w:pStyle w:val="TableParagraph"/>
              <w:rPr>
                <w:sz w:val="26"/>
              </w:rPr>
            </w:pPr>
          </w:p>
          <w:p w14:paraId="0D75FDA9" w14:textId="77777777" w:rsidR="001A3348" w:rsidRDefault="001A3348">
            <w:pPr>
              <w:pStyle w:val="TableParagraph"/>
              <w:rPr>
                <w:sz w:val="38"/>
              </w:rPr>
            </w:pPr>
          </w:p>
          <w:p w14:paraId="0290E396" w14:textId="77777777" w:rsidR="001A3348" w:rsidRDefault="00CE74D2">
            <w:pPr>
              <w:pStyle w:val="TableParagraph"/>
              <w:spacing w:before="1"/>
              <w:ind w:left="137" w:right="128"/>
              <w:jc w:val="center"/>
              <w:rPr>
                <w:sz w:val="23"/>
              </w:rPr>
            </w:pPr>
            <w:r>
              <w:rPr>
                <w:sz w:val="23"/>
              </w:rPr>
              <w:t>#2</w:t>
            </w:r>
          </w:p>
        </w:tc>
        <w:tc>
          <w:tcPr>
            <w:tcW w:w="3331" w:type="dxa"/>
          </w:tcPr>
          <w:p w14:paraId="0B77A4E6" w14:textId="77777777" w:rsidR="001A3348" w:rsidRDefault="001A3348">
            <w:pPr>
              <w:pStyle w:val="TableParagraph"/>
              <w:rPr>
                <w:sz w:val="26"/>
              </w:rPr>
            </w:pPr>
          </w:p>
          <w:p w14:paraId="07FDAFE7" w14:textId="77777777" w:rsidR="001A3348" w:rsidRDefault="00CE74D2">
            <w:pPr>
              <w:pStyle w:val="TableParagraph"/>
              <w:spacing w:before="171"/>
              <w:ind w:left="95" w:right="254"/>
              <w:jc w:val="both"/>
              <w:rPr>
                <w:i/>
                <w:sz w:val="23"/>
              </w:rPr>
            </w:pPr>
            <w:r>
              <w:rPr>
                <w:i/>
                <w:sz w:val="23"/>
              </w:rPr>
              <w:t>The relationship between the community and the individual is symbiotic.</w:t>
            </w:r>
          </w:p>
        </w:tc>
        <w:tc>
          <w:tcPr>
            <w:tcW w:w="5340" w:type="dxa"/>
          </w:tcPr>
          <w:p w14:paraId="2A51D8B2" w14:textId="77777777" w:rsidR="001A3348" w:rsidRDefault="00CE74D2">
            <w:pPr>
              <w:pStyle w:val="TableParagraph"/>
              <w:spacing w:before="74"/>
              <w:ind w:left="93" w:right="141"/>
              <w:rPr>
                <w:sz w:val="23"/>
              </w:rPr>
            </w:pPr>
            <w:r>
              <w:rPr>
                <w:sz w:val="23"/>
              </w:rPr>
              <w:t>The health of the community, as determined by a diverse set of internal and external factors, affects the health of an individual. Conversely, the health of an individual affects the health of the community, as the community consists of individuals.</w:t>
            </w:r>
          </w:p>
        </w:tc>
      </w:tr>
      <w:tr w:rsidR="001A3348" w14:paraId="085EFCAC" w14:textId="77777777">
        <w:trPr>
          <w:trHeight w:val="1737"/>
        </w:trPr>
        <w:tc>
          <w:tcPr>
            <w:tcW w:w="571" w:type="dxa"/>
            <w:shd w:val="clear" w:color="auto" w:fill="DBE4F0"/>
          </w:tcPr>
          <w:p w14:paraId="25691D02" w14:textId="77777777" w:rsidR="001A3348" w:rsidRDefault="001A3348">
            <w:pPr>
              <w:pStyle w:val="TableParagraph"/>
              <w:rPr>
                <w:sz w:val="26"/>
              </w:rPr>
            </w:pPr>
          </w:p>
          <w:p w14:paraId="4C8A8BE6" w14:textId="77777777" w:rsidR="001A3348" w:rsidRDefault="001A3348">
            <w:pPr>
              <w:pStyle w:val="TableParagraph"/>
              <w:rPr>
                <w:sz w:val="38"/>
              </w:rPr>
            </w:pPr>
          </w:p>
          <w:p w14:paraId="7A25DCE7" w14:textId="77777777" w:rsidR="001A3348" w:rsidRDefault="00CE74D2">
            <w:pPr>
              <w:pStyle w:val="TableParagraph"/>
              <w:spacing w:before="1"/>
              <w:ind w:left="137" w:right="128"/>
              <w:jc w:val="center"/>
              <w:rPr>
                <w:sz w:val="23"/>
              </w:rPr>
            </w:pPr>
            <w:r>
              <w:rPr>
                <w:sz w:val="23"/>
              </w:rPr>
              <w:t>#3</w:t>
            </w:r>
          </w:p>
        </w:tc>
        <w:tc>
          <w:tcPr>
            <w:tcW w:w="3331" w:type="dxa"/>
            <w:shd w:val="clear" w:color="auto" w:fill="DBE4F0"/>
          </w:tcPr>
          <w:p w14:paraId="19988EC5" w14:textId="77777777" w:rsidR="001A3348" w:rsidRDefault="001A3348">
            <w:pPr>
              <w:pStyle w:val="TableParagraph"/>
              <w:rPr>
                <w:sz w:val="26"/>
              </w:rPr>
            </w:pPr>
          </w:p>
          <w:p w14:paraId="0CA9D0FE" w14:textId="77777777" w:rsidR="001A3348" w:rsidRDefault="00CE74D2">
            <w:pPr>
              <w:pStyle w:val="TableParagraph"/>
              <w:spacing w:before="166"/>
              <w:ind w:left="95" w:right="120"/>
              <w:jc w:val="both"/>
              <w:rPr>
                <w:i/>
                <w:sz w:val="23"/>
              </w:rPr>
            </w:pPr>
            <w:r>
              <w:rPr>
                <w:i/>
                <w:sz w:val="23"/>
              </w:rPr>
              <w:t>Each community has a unique set of inequities and should</w:t>
            </w:r>
            <w:r>
              <w:rPr>
                <w:i/>
                <w:spacing w:val="-12"/>
                <w:sz w:val="23"/>
              </w:rPr>
              <w:t xml:space="preserve"> </w:t>
            </w:r>
            <w:r>
              <w:rPr>
                <w:i/>
                <w:sz w:val="23"/>
              </w:rPr>
              <w:t>be approached</w:t>
            </w:r>
            <w:r>
              <w:rPr>
                <w:i/>
                <w:spacing w:val="-4"/>
                <w:sz w:val="23"/>
              </w:rPr>
              <w:t xml:space="preserve"> </w:t>
            </w:r>
            <w:r>
              <w:rPr>
                <w:i/>
                <w:sz w:val="23"/>
              </w:rPr>
              <w:t>accordingly.</w:t>
            </w:r>
          </w:p>
        </w:tc>
        <w:tc>
          <w:tcPr>
            <w:tcW w:w="5340" w:type="dxa"/>
            <w:shd w:val="clear" w:color="auto" w:fill="DBE4F0"/>
          </w:tcPr>
          <w:p w14:paraId="69C3674E" w14:textId="77777777" w:rsidR="001A3348" w:rsidRDefault="00CE74D2">
            <w:pPr>
              <w:pStyle w:val="TableParagraph"/>
              <w:spacing w:before="74"/>
              <w:ind w:left="93" w:right="191"/>
              <w:rPr>
                <w:sz w:val="23"/>
              </w:rPr>
            </w:pPr>
            <w:r>
              <w:rPr>
                <w:sz w:val="23"/>
              </w:rPr>
              <w:t>Communities have a diverse and unique set of historic and systemic advantages and disadvantages. Therefore, each community has specific needs and values and must be approached in a way that meets these needs and values.</w:t>
            </w:r>
          </w:p>
        </w:tc>
      </w:tr>
      <w:tr w:rsidR="001A3348" w14:paraId="32DA1E4F" w14:textId="77777777">
        <w:trPr>
          <w:trHeight w:val="1206"/>
        </w:trPr>
        <w:tc>
          <w:tcPr>
            <w:tcW w:w="571" w:type="dxa"/>
          </w:tcPr>
          <w:p w14:paraId="3F100416" w14:textId="77777777" w:rsidR="001A3348" w:rsidRDefault="001A3348">
            <w:pPr>
              <w:pStyle w:val="TableParagraph"/>
              <w:rPr>
                <w:sz w:val="26"/>
              </w:rPr>
            </w:pPr>
          </w:p>
          <w:p w14:paraId="6479A345" w14:textId="77777777" w:rsidR="001A3348" w:rsidRDefault="00CE74D2">
            <w:pPr>
              <w:pStyle w:val="TableParagraph"/>
              <w:spacing w:before="169"/>
              <w:ind w:left="137" w:right="128"/>
              <w:jc w:val="center"/>
              <w:rPr>
                <w:sz w:val="23"/>
              </w:rPr>
            </w:pPr>
            <w:r>
              <w:rPr>
                <w:sz w:val="23"/>
              </w:rPr>
              <w:t>#4</w:t>
            </w:r>
          </w:p>
        </w:tc>
        <w:tc>
          <w:tcPr>
            <w:tcW w:w="3331" w:type="dxa"/>
          </w:tcPr>
          <w:p w14:paraId="297981C2" w14:textId="77777777" w:rsidR="001A3348" w:rsidRDefault="00CE74D2">
            <w:pPr>
              <w:pStyle w:val="TableParagraph"/>
              <w:spacing w:before="69"/>
              <w:ind w:left="96" w:right="284"/>
              <w:rPr>
                <w:i/>
                <w:sz w:val="23"/>
              </w:rPr>
            </w:pPr>
            <w:r>
              <w:rPr>
                <w:i/>
                <w:sz w:val="23"/>
              </w:rPr>
              <w:t>Community health should be community-led, with community members serving as co-producers.</w:t>
            </w:r>
          </w:p>
        </w:tc>
        <w:tc>
          <w:tcPr>
            <w:tcW w:w="5340" w:type="dxa"/>
          </w:tcPr>
          <w:p w14:paraId="3573B456" w14:textId="77777777" w:rsidR="001A3348" w:rsidRDefault="00CE74D2">
            <w:pPr>
              <w:pStyle w:val="TableParagraph"/>
              <w:spacing w:before="72"/>
              <w:ind w:left="93" w:right="474"/>
              <w:rPr>
                <w:sz w:val="23"/>
              </w:rPr>
            </w:pPr>
            <w:r>
              <w:rPr>
                <w:sz w:val="23"/>
              </w:rPr>
              <w:t>To improve community health, members of the community must actively participate in the formation of ideas, decision-making, and implementation / evaluation of strategies.</w:t>
            </w:r>
          </w:p>
        </w:tc>
      </w:tr>
      <w:tr w:rsidR="001A3348" w14:paraId="6792B140" w14:textId="77777777">
        <w:trPr>
          <w:trHeight w:val="1473"/>
        </w:trPr>
        <w:tc>
          <w:tcPr>
            <w:tcW w:w="571" w:type="dxa"/>
            <w:shd w:val="clear" w:color="auto" w:fill="DBE4F0"/>
          </w:tcPr>
          <w:p w14:paraId="74C99915" w14:textId="77777777" w:rsidR="001A3348" w:rsidRDefault="001A3348">
            <w:pPr>
              <w:pStyle w:val="TableParagraph"/>
              <w:rPr>
                <w:sz w:val="26"/>
              </w:rPr>
            </w:pPr>
          </w:p>
          <w:p w14:paraId="7502B968" w14:textId="77777777" w:rsidR="001A3348" w:rsidRDefault="001A3348">
            <w:pPr>
              <w:pStyle w:val="TableParagraph"/>
              <w:spacing w:before="4"/>
              <w:rPr>
                <w:sz w:val="26"/>
              </w:rPr>
            </w:pPr>
          </w:p>
          <w:p w14:paraId="048FB183" w14:textId="77777777" w:rsidR="001A3348" w:rsidRDefault="00CE74D2">
            <w:pPr>
              <w:pStyle w:val="TableParagraph"/>
              <w:ind w:left="137" w:right="128"/>
              <w:jc w:val="center"/>
              <w:rPr>
                <w:sz w:val="23"/>
              </w:rPr>
            </w:pPr>
            <w:r>
              <w:rPr>
                <w:sz w:val="23"/>
              </w:rPr>
              <w:t>#5</w:t>
            </w:r>
          </w:p>
        </w:tc>
        <w:tc>
          <w:tcPr>
            <w:tcW w:w="3331" w:type="dxa"/>
            <w:shd w:val="clear" w:color="auto" w:fill="DBE4F0"/>
          </w:tcPr>
          <w:p w14:paraId="1799A344" w14:textId="77777777" w:rsidR="001A3348" w:rsidRDefault="001A3348">
            <w:pPr>
              <w:pStyle w:val="TableParagraph"/>
              <w:rPr>
                <w:sz w:val="26"/>
              </w:rPr>
            </w:pPr>
          </w:p>
          <w:p w14:paraId="7C1935C6" w14:textId="77777777" w:rsidR="001A3348" w:rsidRDefault="00CE74D2">
            <w:pPr>
              <w:pStyle w:val="TableParagraph"/>
              <w:spacing w:before="169"/>
              <w:ind w:left="95" w:right="534"/>
              <w:rPr>
                <w:i/>
                <w:sz w:val="23"/>
              </w:rPr>
            </w:pPr>
            <w:r>
              <w:rPr>
                <w:i/>
                <w:sz w:val="23"/>
              </w:rPr>
              <w:t>Decisions by stakeholders involve tradeoffs.</w:t>
            </w:r>
          </w:p>
        </w:tc>
        <w:tc>
          <w:tcPr>
            <w:tcW w:w="5340" w:type="dxa"/>
            <w:shd w:val="clear" w:color="auto" w:fill="DBE4F0"/>
          </w:tcPr>
          <w:p w14:paraId="6E30F778" w14:textId="77777777" w:rsidR="001A3348" w:rsidRDefault="00CE74D2">
            <w:pPr>
              <w:pStyle w:val="TableParagraph"/>
              <w:spacing w:before="72"/>
              <w:ind w:left="93" w:right="192"/>
              <w:rPr>
                <w:sz w:val="23"/>
              </w:rPr>
            </w:pPr>
            <w:r>
              <w:rPr>
                <w:sz w:val="23"/>
              </w:rPr>
              <w:t>Stakeholders should be aware of available and needed resources to create healthy communities, and the tradeoffs involved when choosing between competing opportunities and approaches.</w:t>
            </w:r>
          </w:p>
        </w:tc>
      </w:tr>
      <w:tr w:rsidR="001A3348" w14:paraId="7EB176B1" w14:textId="77777777">
        <w:trPr>
          <w:trHeight w:val="1470"/>
        </w:trPr>
        <w:tc>
          <w:tcPr>
            <w:tcW w:w="571" w:type="dxa"/>
          </w:tcPr>
          <w:p w14:paraId="01A6CB6E" w14:textId="77777777" w:rsidR="001A3348" w:rsidRDefault="001A3348">
            <w:pPr>
              <w:pStyle w:val="TableParagraph"/>
              <w:rPr>
                <w:sz w:val="26"/>
              </w:rPr>
            </w:pPr>
          </w:p>
          <w:p w14:paraId="76D6F301" w14:textId="77777777" w:rsidR="001A3348" w:rsidRDefault="001A3348">
            <w:pPr>
              <w:pStyle w:val="TableParagraph"/>
              <w:spacing w:before="2"/>
              <w:rPr>
                <w:sz w:val="26"/>
              </w:rPr>
            </w:pPr>
          </w:p>
          <w:p w14:paraId="2F356879" w14:textId="77777777" w:rsidR="001A3348" w:rsidRDefault="00CE74D2">
            <w:pPr>
              <w:pStyle w:val="TableParagraph"/>
              <w:ind w:left="137" w:right="128"/>
              <w:jc w:val="center"/>
              <w:rPr>
                <w:sz w:val="23"/>
              </w:rPr>
            </w:pPr>
            <w:r>
              <w:rPr>
                <w:sz w:val="23"/>
              </w:rPr>
              <w:t>#6</w:t>
            </w:r>
          </w:p>
        </w:tc>
        <w:tc>
          <w:tcPr>
            <w:tcW w:w="3331" w:type="dxa"/>
          </w:tcPr>
          <w:p w14:paraId="2EF5B9C2" w14:textId="77777777" w:rsidR="001A3348" w:rsidRDefault="00CE74D2">
            <w:pPr>
              <w:pStyle w:val="TableParagraph"/>
              <w:spacing w:before="201"/>
              <w:ind w:left="96" w:right="201"/>
              <w:rPr>
                <w:i/>
                <w:sz w:val="23"/>
              </w:rPr>
            </w:pPr>
            <w:r>
              <w:rPr>
                <w:i/>
                <w:sz w:val="23"/>
              </w:rPr>
              <w:t>Communities impact (and are impacted by) events and policies at regional, national, and global levels.</w:t>
            </w:r>
          </w:p>
        </w:tc>
        <w:tc>
          <w:tcPr>
            <w:tcW w:w="5340" w:type="dxa"/>
          </w:tcPr>
          <w:p w14:paraId="23E40C1D" w14:textId="77777777" w:rsidR="001A3348" w:rsidRDefault="00CE74D2">
            <w:pPr>
              <w:pStyle w:val="TableParagraph"/>
              <w:spacing w:before="72"/>
              <w:ind w:left="93" w:right="127"/>
              <w:rPr>
                <w:sz w:val="23"/>
              </w:rPr>
            </w:pPr>
            <w:r>
              <w:rPr>
                <w:sz w:val="23"/>
              </w:rPr>
              <w:t>Local initiatives can transcend community boundaries and have regional, national, and global impacts, while regional, national, and</w:t>
            </w:r>
            <w:r>
              <w:rPr>
                <w:spacing w:val="-34"/>
                <w:sz w:val="23"/>
              </w:rPr>
              <w:t xml:space="preserve"> </w:t>
            </w:r>
            <w:r>
              <w:rPr>
                <w:sz w:val="23"/>
              </w:rPr>
              <w:t>global initiatives can impact the health of local communities.</w:t>
            </w:r>
          </w:p>
        </w:tc>
      </w:tr>
    </w:tbl>
    <w:p w14:paraId="79237369" w14:textId="77777777" w:rsidR="001A3348" w:rsidRDefault="001A3348">
      <w:pPr>
        <w:rPr>
          <w:sz w:val="23"/>
        </w:rPr>
        <w:sectPr w:rsidR="001A3348">
          <w:pgSz w:w="12240" w:h="15840"/>
          <w:pgMar w:top="1360" w:right="1300" w:bottom="280" w:left="1320" w:header="720" w:footer="720" w:gutter="0"/>
          <w:cols w:space="720"/>
        </w:sectPr>
      </w:pPr>
    </w:p>
    <w:p w14:paraId="600F80F3" w14:textId="77777777" w:rsidR="001A3348" w:rsidRDefault="00CE74D2">
      <w:pPr>
        <w:pStyle w:val="Heading1"/>
        <w:ind w:left="3760"/>
      </w:pPr>
      <w:bookmarkStart w:id="3" w:name="Who_We_Are"/>
      <w:bookmarkEnd w:id="3"/>
      <w:r>
        <w:lastRenderedPageBreak/>
        <w:t>Who We Are</w:t>
      </w:r>
    </w:p>
    <w:p w14:paraId="4DD2C337" w14:textId="77777777" w:rsidR="001A3348" w:rsidRDefault="001A3348">
      <w:pPr>
        <w:pStyle w:val="BodyText"/>
        <w:spacing w:before="1"/>
        <w:rPr>
          <w:rFonts w:ascii="Georgia"/>
          <w:b/>
          <w:sz w:val="32"/>
        </w:rPr>
      </w:pPr>
    </w:p>
    <w:p w14:paraId="29980620" w14:textId="77777777" w:rsidR="001A3348" w:rsidRDefault="00CE74D2">
      <w:pPr>
        <w:pStyle w:val="BodyText"/>
        <w:ind w:left="120" w:right="166"/>
      </w:pPr>
      <w:r>
        <w:t>Georgia Tech’s motto is “Progress and Service” – and we are upping the ante through Serve-Learn-Sustain, a campus-wide academic initiative working with all six colleges to offer courses and programs connecting sustainability and community engagement with</w:t>
      </w:r>
      <w:r>
        <w:rPr>
          <w:spacing w:val="-26"/>
        </w:rPr>
        <w:t xml:space="preserve"> </w:t>
      </w:r>
      <w:r>
        <w:t>real- world partners and projects. The result? Georgia Tech graduates are using their disciplinary expertise to help “create sustainable communities” where humans and nature flourish, now and in the future, in Georgia, the U.S., and around the</w:t>
      </w:r>
      <w:r>
        <w:rPr>
          <w:spacing w:val="-17"/>
        </w:rPr>
        <w:t xml:space="preserve"> </w:t>
      </w:r>
      <w:r>
        <w:t>globe.</w:t>
      </w:r>
    </w:p>
    <w:p w14:paraId="482FB7BE" w14:textId="77777777" w:rsidR="001A3348" w:rsidRDefault="00CE74D2">
      <w:pPr>
        <w:pStyle w:val="BodyText"/>
        <w:spacing w:before="117"/>
        <w:ind w:left="120" w:right="415"/>
      </w:pPr>
      <w:r>
        <w:t xml:space="preserve">Visit </w:t>
      </w:r>
      <w:hyperlink r:id="rId11">
        <w:r>
          <w:rPr>
            <w:color w:val="0000FF"/>
            <w:u w:val="single" w:color="0000FF"/>
          </w:rPr>
          <w:t>our website</w:t>
        </w:r>
        <w:r>
          <w:rPr>
            <w:color w:val="0000FF"/>
          </w:rPr>
          <w:t xml:space="preserve"> </w:t>
        </w:r>
      </w:hyperlink>
      <w:r>
        <w:t>to browse over 100 affiliated courses, check out our Events Series, and sign up for our newsletter! And check out the table below for the names of the faculty and staff who are making the Community Health track a possibility!</w:t>
      </w:r>
    </w:p>
    <w:p w14:paraId="69A8BDC0" w14:textId="77777777" w:rsidR="001A3348" w:rsidRDefault="001A3348">
      <w:pPr>
        <w:pStyle w:val="BodyText"/>
        <w:spacing w:before="10" w:after="1"/>
        <w:rPr>
          <w:sz w:val="20"/>
        </w:r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30"/>
        <w:gridCol w:w="7012"/>
      </w:tblGrid>
      <w:tr w:rsidR="001A3348" w14:paraId="0B5D8D53" w14:textId="77777777">
        <w:trPr>
          <w:trHeight w:val="503"/>
        </w:trPr>
        <w:tc>
          <w:tcPr>
            <w:tcW w:w="2330" w:type="dxa"/>
          </w:tcPr>
          <w:p w14:paraId="098464C4" w14:textId="77777777" w:rsidR="001A3348" w:rsidRDefault="00CE74D2">
            <w:pPr>
              <w:pStyle w:val="TableParagraph"/>
              <w:spacing w:before="122"/>
              <w:ind w:left="112"/>
              <w:rPr>
                <w:rFonts w:ascii="Georgia"/>
                <w:b/>
                <w:sz w:val="23"/>
              </w:rPr>
            </w:pPr>
            <w:r>
              <w:rPr>
                <w:rFonts w:ascii="Georgia"/>
                <w:b/>
                <w:sz w:val="23"/>
              </w:rPr>
              <w:t>Name</w:t>
            </w:r>
          </w:p>
        </w:tc>
        <w:tc>
          <w:tcPr>
            <w:tcW w:w="7012" w:type="dxa"/>
          </w:tcPr>
          <w:p w14:paraId="371A69E7" w14:textId="77777777" w:rsidR="001A3348" w:rsidRDefault="00CE74D2">
            <w:pPr>
              <w:pStyle w:val="TableParagraph"/>
              <w:spacing w:before="122"/>
              <w:ind w:left="110"/>
              <w:rPr>
                <w:rFonts w:ascii="Georgia"/>
                <w:b/>
                <w:sz w:val="23"/>
              </w:rPr>
            </w:pPr>
            <w:r>
              <w:rPr>
                <w:rFonts w:ascii="Georgia"/>
                <w:b/>
                <w:sz w:val="23"/>
              </w:rPr>
              <w:t>Background &amp; Contributions</w:t>
            </w:r>
          </w:p>
        </w:tc>
      </w:tr>
      <w:tr w:rsidR="001A3348" w14:paraId="55F6519E" w14:textId="77777777">
        <w:trPr>
          <w:trHeight w:val="505"/>
        </w:trPr>
        <w:tc>
          <w:tcPr>
            <w:tcW w:w="2330" w:type="dxa"/>
          </w:tcPr>
          <w:p w14:paraId="1F036ACB" w14:textId="77777777" w:rsidR="001A3348" w:rsidRDefault="00CE74D2">
            <w:pPr>
              <w:pStyle w:val="TableParagraph"/>
              <w:spacing w:before="120"/>
              <w:ind w:left="112"/>
              <w:rPr>
                <w:sz w:val="23"/>
              </w:rPr>
            </w:pPr>
            <w:r>
              <w:rPr>
                <w:sz w:val="23"/>
              </w:rPr>
              <w:t>Jennifer Hirsch</w:t>
            </w:r>
          </w:p>
        </w:tc>
        <w:tc>
          <w:tcPr>
            <w:tcW w:w="7012" w:type="dxa"/>
          </w:tcPr>
          <w:p w14:paraId="6124A5B7" w14:textId="77777777" w:rsidR="001A3348" w:rsidRDefault="00CE74D2">
            <w:pPr>
              <w:pStyle w:val="TableParagraph"/>
              <w:spacing w:before="120"/>
              <w:ind w:left="110"/>
              <w:rPr>
                <w:sz w:val="23"/>
              </w:rPr>
            </w:pPr>
            <w:r>
              <w:rPr>
                <w:sz w:val="23"/>
              </w:rPr>
              <w:t>Director of Serve-Learn-Sustain</w:t>
            </w:r>
          </w:p>
        </w:tc>
      </w:tr>
      <w:tr w:rsidR="001A3348" w14:paraId="556C575F" w14:textId="77777777">
        <w:trPr>
          <w:trHeight w:val="500"/>
        </w:trPr>
        <w:tc>
          <w:tcPr>
            <w:tcW w:w="2330" w:type="dxa"/>
          </w:tcPr>
          <w:p w14:paraId="65A60911" w14:textId="77777777" w:rsidR="001A3348" w:rsidRDefault="00CE74D2">
            <w:pPr>
              <w:pStyle w:val="TableParagraph"/>
              <w:spacing w:before="120"/>
              <w:ind w:left="112"/>
              <w:rPr>
                <w:sz w:val="23"/>
              </w:rPr>
            </w:pPr>
            <w:r>
              <w:rPr>
                <w:sz w:val="23"/>
              </w:rPr>
              <w:t>Stephanie Jackson</w:t>
            </w:r>
          </w:p>
        </w:tc>
        <w:tc>
          <w:tcPr>
            <w:tcW w:w="7012" w:type="dxa"/>
          </w:tcPr>
          <w:p w14:paraId="2DB6B5E1" w14:textId="77777777" w:rsidR="001A3348" w:rsidRDefault="00CE74D2">
            <w:pPr>
              <w:pStyle w:val="TableParagraph"/>
              <w:spacing w:before="120"/>
              <w:ind w:left="110"/>
              <w:rPr>
                <w:sz w:val="23"/>
              </w:rPr>
            </w:pPr>
            <w:r>
              <w:rPr>
                <w:sz w:val="23"/>
              </w:rPr>
              <w:t>PhD candidate in the School of Economics</w:t>
            </w:r>
          </w:p>
        </w:tc>
      </w:tr>
      <w:tr w:rsidR="001A3348" w14:paraId="17B31D25" w14:textId="77777777">
        <w:trPr>
          <w:trHeight w:val="1033"/>
        </w:trPr>
        <w:tc>
          <w:tcPr>
            <w:tcW w:w="2330" w:type="dxa"/>
          </w:tcPr>
          <w:p w14:paraId="3860C129" w14:textId="77777777" w:rsidR="001A3348" w:rsidRDefault="001A3348">
            <w:pPr>
              <w:pStyle w:val="TableParagraph"/>
              <w:spacing w:before="9"/>
              <w:rPr>
                <w:sz w:val="33"/>
              </w:rPr>
            </w:pPr>
          </w:p>
          <w:p w14:paraId="72DF2014" w14:textId="77777777" w:rsidR="001A3348" w:rsidRDefault="00CE74D2">
            <w:pPr>
              <w:pStyle w:val="TableParagraph"/>
              <w:ind w:left="112"/>
              <w:rPr>
                <w:sz w:val="23"/>
              </w:rPr>
            </w:pPr>
            <w:r>
              <w:rPr>
                <w:sz w:val="23"/>
              </w:rPr>
              <w:t>Bethany Jacobs</w:t>
            </w:r>
          </w:p>
        </w:tc>
        <w:tc>
          <w:tcPr>
            <w:tcW w:w="7012" w:type="dxa"/>
          </w:tcPr>
          <w:p w14:paraId="74DE8577" w14:textId="77777777" w:rsidR="001A3348" w:rsidRDefault="00CE74D2">
            <w:pPr>
              <w:pStyle w:val="TableParagraph"/>
              <w:spacing w:before="122"/>
              <w:ind w:left="110" w:right="623"/>
              <w:rPr>
                <w:sz w:val="23"/>
              </w:rPr>
            </w:pPr>
            <w:r>
              <w:rPr>
                <w:sz w:val="23"/>
              </w:rPr>
              <w:t xml:space="preserve">Marion L. </w:t>
            </w:r>
            <w:proofErr w:type="spellStart"/>
            <w:r>
              <w:rPr>
                <w:sz w:val="23"/>
              </w:rPr>
              <w:t>Brittain</w:t>
            </w:r>
            <w:proofErr w:type="spellEnd"/>
            <w:r>
              <w:rPr>
                <w:sz w:val="23"/>
              </w:rPr>
              <w:t xml:space="preserve"> Postdoctoral Fellow in the Writing and Communication Program, as well as the Serve-Learn-Sustain Toolkit Manager</w:t>
            </w:r>
          </w:p>
        </w:tc>
      </w:tr>
      <w:tr w:rsidR="001A3348" w14:paraId="79804483" w14:textId="77777777">
        <w:trPr>
          <w:trHeight w:val="505"/>
        </w:trPr>
        <w:tc>
          <w:tcPr>
            <w:tcW w:w="2330" w:type="dxa"/>
          </w:tcPr>
          <w:p w14:paraId="4D71D21B" w14:textId="77777777" w:rsidR="001A3348" w:rsidRDefault="00CE74D2">
            <w:pPr>
              <w:pStyle w:val="TableParagraph"/>
              <w:spacing w:before="122"/>
              <w:ind w:left="112"/>
              <w:rPr>
                <w:sz w:val="23"/>
              </w:rPr>
            </w:pPr>
            <w:r>
              <w:rPr>
                <w:sz w:val="23"/>
              </w:rPr>
              <w:t>Kevin Lanza</w:t>
            </w:r>
          </w:p>
        </w:tc>
        <w:tc>
          <w:tcPr>
            <w:tcW w:w="7012" w:type="dxa"/>
          </w:tcPr>
          <w:p w14:paraId="22964275" w14:textId="77777777" w:rsidR="001A3348" w:rsidRDefault="00CE74D2">
            <w:pPr>
              <w:pStyle w:val="TableParagraph"/>
              <w:spacing w:before="122"/>
              <w:ind w:left="110"/>
              <w:rPr>
                <w:sz w:val="23"/>
              </w:rPr>
            </w:pPr>
            <w:r>
              <w:rPr>
                <w:sz w:val="23"/>
              </w:rPr>
              <w:t>PhD candidate in the School of City and Regional Planning</w:t>
            </w:r>
          </w:p>
        </w:tc>
      </w:tr>
      <w:tr w:rsidR="001A3348" w14:paraId="327B9334" w14:textId="77777777">
        <w:trPr>
          <w:trHeight w:val="769"/>
        </w:trPr>
        <w:tc>
          <w:tcPr>
            <w:tcW w:w="2330" w:type="dxa"/>
          </w:tcPr>
          <w:p w14:paraId="48D156C4" w14:textId="77777777" w:rsidR="001A3348" w:rsidRDefault="001A3348">
            <w:pPr>
              <w:pStyle w:val="TableParagraph"/>
              <w:spacing w:before="10"/>
              <w:rPr>
                <w:sz w:val="21"/>
              </w:rPr>
            </w:pPr>
          </w:p>
          <w:p w14:paraId="21FA7CBD" w14:textId="77777777" w:rsidR="001A3348" w:rsidRDefault="00CE74D2">
            <w:pPr>
              <w:pStyle w:val="TableParagraph"/>
              <w:ind w:left="112"/>
              <w:rPr>
                <w:sz w:val="23"/>
              </w:rPr>
            </w:pPr>
            <w:r>
              <w:rPr>
                <w:sz w:val="23"/>
              </w:rPr>
              <w:t>Sarah Melgen</w:t>
            </w:r>
          </w:p>
        </w:tc>
        <w:tc>
          <w:tcPr>
            <w:tcW w:w="7012" w:type="dxa"/>
          </w:tcPr>
          <w:p w14:paraId="219028D7" w14:textId="77777777" w:rsidR="001A3348" w:rsidRDefault="00CE74D2">
            <w:pPr>
              <w:pStyle w:val="TableParagraph"/>
              <w:spacing w:before="117"/>
              <w:ind w:left="110"/>
              <w:rPr>
                <w:sz w:val="23"/>
              </w:rPr>
            </w:pPr>
            <w:r>
              <w:rPr>
                <w:sz w:val="23"/>
              </w:rPr>
              <w:t>Research Scientist at the Center for Assistive Technology and Environmental Access (</w:t>
            </w:r>
            <w:proofErr w:type="spellStart"/>
            <w:r>
              <w:rPr>
                <w:sz w:val="23"/>
              </w:rPr>
              <w:t>CATEA</w:t>
            </w:r>
            <w:proofErr w:type="spellEnd"/>
            <w:r>
              <w:rPr>
                <w:sz w:val="23"/>
              </w:rPr>
              <w:t>)</w:t>
            </w:r>
          </w:p>
        </w:tc>
      </w:tr>
      <w:tr w:rsidR="001A3348" w14:paraId="24E1A40F" w14:textId="77777777">
        <w:trPr>
          <w:trHeight w:val="767"/>
        </w:trPr>
        <w:tc>
          <w:tcPr>
            <w:tcW w:w="2330" w:type="dxa"/>
          </w:tcPr>
          <w:p w14:paraId="49CAF63A" w14:textId="77777777" w:rsidR="001A3348" w:rsidRDefault="001A3348">
            <w:pPr>
              <w:pStyle w:val="TableParagraph"/>
              <w:spacing w:before="10"/>
              <w:rPr>
                <w:sz w:val="21"/>
              </w:rPr>
            </w:pPr>
          </w:p>
          <w:p w14:paraId="0A54DBBA" w14:textId="77777777" w:rsidR="001A3348" w:rsidRDefault="00CE74D2">
            <w:pPr>
              <w:pStyle w:val="TableParagraph"/>
              <w:ind w:left="112"/>
              <w:rPr>
                <w:sz w:val="23"/>
              </w:rPr>
            </w:pPr>
            <w:r>
              <w:rPr>
                <w:sz w:val="23"/>
              </w:rPr>
              <w:t>Darcy Mullen</w:t>
            </w:r>
          </w:p>
        </w:tc>
        <w:tc>
          <w:tcPr>
            <w:tcW w:w="7012" w:type="dxa"/>
          </w:tcPr>
          <w:p w14:paraId="747E1B13" w14:textId="77777777" w:rsidR="001A3348" w:rsidRDefault="00CE74D2">
            <w:pPr>
              <w:pStyle w:val="TableParagraph"/>
              <w:spacing w:before="117"/>
              <w:ind w:left="110" w:right="1198"/>
              <w:rPr>
                <w:sz w:val="23"/>
              </w:rPr>
            </w:pPr>
            <w:r>
              <w:rPr>
                <w:sz w:val="23"/>
              </w:rPr>
              <w:t xml:space="preserve">Marion L. </w:t>
            </w:r>
            <w:proofErr w:type="spellStart"/>
            <w:r>
              <w:rPr>
                <w:sz w:val="23"/>
              </w:rPr>
              <w:t>Brittain</w:t>
            </w:r>
            <w:proofErr w:type="spellEnd"/>
            <w:r>
              <w:rPr>
                <w:sz w:val="23"/>
              </w:rPr>
              <w:t xml:space="preserve"> Postdoctoral Fellow in the Writing and Communication Program</w:t>
            </w:r>
          </w:p>
        </w:tc>
      </w:tr>
      <w:tr w:rsidR="001A3348" w14:paraId="68591B11" w14:textId="77777777">
        <w:trPr>
          <w:trHeight w:val="505"/>
        </w:trPr>
        <w:tc>
          <w:tcPr>
            <w:tcW w:w="2330" w:type="dxa"/>
          </w:tcPr>
          <w:p w14:paraId="7F5FAC89" w14:textId="77777777" w:rsidR="001A3348" w:rsidRDefault="00CE74D2">
            <w:pPr>
              <w:pStyle w:val="TableParagraph"/>
              <w:spacing w:before="120"/>
              <w:ind w:left="112"/>
              <w:rPr>
                <w:sz w:val="23"/>
              </w:rPr>
            </w:pPr>
            <w:r>
              <w:rPr>
                <w:sz w:val="23"/>
              </w:rPr>
              <w:t>Catherine Muse</w:t>
            </w:r>
          </w:p>
        </w:tc>
        <w:tc>
          <w:tcPr>
            <w:tcW w:w="7012" w:type="dxa"/>
          </w:tcPr>
          <w:p w14:paraId="146B02DA" w14:textId="77777777" w:rsidR="001A3348" w:rsidRDefault="00CE74D2">
            <w:pPr>
              <w:pStyle w:val="TableParagraph"/>
              <w:spacing w:before="120"/>
              <w:ind w:left="110"/>
              <w:rPr>
                <w:sz w:val="23"/>
              </w:rPr>
            </w:pPr>
            <w:r>
              <w:rPr>
                <w:sz w:val="23"/>
              </w:rPr>
              <w:t>Serve-Learn-Sustain Community Engagement Specialist</w:t>
            </w:r>
          </w:p>
        </w:tc>
      </w:tr>
      <w:tr w:rsidR="001A3348" w14:paraId="4A7F1D73" w14:textId="77777777">
        <w:trPr>
          <w:trHeight w:val="503"/>
        </w:trPr>
        <w:tc>
          <w:tcPr>
            <w:tcW w:w="2330" w:type="dxa"/>
          </w:tcPr>
          <w:p w14:paraId="3D704C05" w14:textId="77777777" w:rsidR="001A3348" w:rsidRDefault="00CE74D2">
            <w:pPr>
              <w:pStyle w:val="TableParagraph"/>
              <w:spacing w:before="120"/>
              <w:ind w:left="112"/>
              <w:rPr>
                <w:sz w:val="23"/>
              </w:rPr>
            </w:pPr>
            <w:r>
              <w:rPr>
                <w:sz w:val="23"/>
              </w:rPr>
              <w:t>Usha Nair-Reichert</w:t>
            </w:r>
          </w:p>
        </w:tc>
        <w:tc>
          <w:tcPr>
            <w:tcW w:w="7012" w:type="dxa"/>
          </w:tcPr>
          <w:p w14:paraId="1821246D" w14:textId="77777777" w:rsidR="001A3348" w:rsidRDefault="00CE74D2">
            <w:pPr>
              <w:pStyle w:val="TableParagraph"/>
              <w:spacing w:before="120"/>
              <w:ind w:left="110"/>
              <w:rPr>
                <w:sz w:val="23"/>
              </w:rPr>
            </w:pPr>
            <w:r>
              <w:rPr>
                <w:sz w:val="23"/>
              </w:rPr>
              <w:t>Associate Professor School of Economics</w:t>
            </w:r>
          </w:p>
        </w:tc>
      </w:tr>
      <w:tr w:rsidR="001A3348" w14:paraId="2BD1E50E" w14:textId="77777777">
        <w:trPr>
          <w:trHeight w:val="1033"/>
        </w:trPr>
        <w:tc>
          <w:tcPr>
            <w:tcW w:w="2330" w:type="dxa"/>
          </w:tcPr>
          <w:p w14:paraId="099992EE" w14:textId="77777777" w:rsidR="001A3348" w:rsidRDefault="001A3348">
            <w:pPr>
              <w:pStyle w:val="TableParagraph"/>
              <w:spacing w:before="6"/>
              <w:rPr>
                <w:sz w:val="33"/>
              </w:rPr>
            </w:pPr>
          </w:p>
          <w:p w14:paraId="63A6793E" w14:textId="77777777" w:rsidR="001A3348" w:rsidRDefault="00CE74D2">
            <w:pPr>
              <w:pStyle w:val="TableParagraph"/>
              <w:ind w:left="112"/>
              <w:rPr>
                <w:sz w:val="23"/>
              </w:rPr>
            </w:pPr>
            <w:r>
              <w:rPr>
                <w:sz w:val="23"/>
              </w:rPr>
              <w:t>Jon Sanford</w:t>
            </w:r>
          </w:p>
        </w:tc>
        <w:tc>
          <w:tcPr>
            <w:tcW w:w="7012" w:type="dxa"/>
          </w:tcPr>
          <w:p w14:paraId="048635FD" w14:textId="77777777" w:rsidR="001A3348" w:rsidRDefault="00CE74D2">
            <w:pPr>
              <w:pStyle w:val="TableParagraph"/>
              <w:spacing w:before="120"/>
              <w:ind w:left="110" w:right="124"/>
              <w:rPr>
                <w:sz w:val="23"/>
              </w:rPr>
            </w:pPr>
            <w:r>
              <w:rPr>
                <w:sz w:val="23"/>
              </w:rPr>
              <w:t>Director of the Center for Assistive Technology and Environmental Access (</w:t>
            </w:r>
            <w:proofErr w:type="spellStart"/>
            <w:r>
              <w:rPr>
                <w:sz w:val="23"/>
              </w:rPr>
              <w:t>CATEA</w:t>
            </w:r>
            <w:proofErr w:type="spellEnd"/>
            <w:r>
              <w:rPr>
                <w:sz w:val="23"/>
              </w:rPr>
              <w:t>) and a professor of industrial design at Georgia Tech’s College of Design</w:t>
            </w:r>
          </w:p>
        </w:tc>
      </w:tr>
      <w:tr w:rsidR="001A3348" w14:paraId="3C24CD95" w14:textId="77777777">
        <w:trPr>
          <w:trHeight w:val="505"/>
        </w:trPr>
        <w:tc>
          <w:tcPr>
            <w:tcW w:w="2330" w:type="dxa"/>
          </w:tcPr>
          <w:p w14:paraId="2E4D2221" w14:textId="77777777" w:rsidR="001A3348" w:rsidRDefault="00CE74D2">
            <w:pPr>
              <w:pStyle w:val="TableParagraph"/>
              <w:spacing w:before="120"/>
              <w:ind w:left="112"/>
              <w:rPr>
                <w:sz w:val="23"/>
              </w:rPr>
            </w:pPr>
            <w:r>
              <w:rPr>
                <w:sz w:val="23"/>
              </w:rPr>
              <w:t>Teresa Snow</w:t>
            </w:r>
          </w:p>
        </w:tc>
        <w:tc>
          <w:tcPr>
            <w:tcW w:w="7012" w:type="dxa"/>
          </w:tcPr>
          <w:p w14:paraId="60230FDF" w14:textId="77777777" w:rsidR="001A3348" w:rsidRDefault="00CE74D2">
            <w:pPr>
              <w:pStyle w:val="TableParagraph"/>
              <w:spacing w:before="120"/>
              <w:ind w:left="110"/>
              <w:rPr>
                <w:sz w:val="23"/>
              </w:rPr>
            </w:pPr>
            <w:r>
              <w:rPr>
                <w:sz w:val="23"/>
              </w:rPr>
              <w:t>Senior Academic Professional in Biological Sciences</w:t>
            </w:r>
          </w:p>
        </w:tc>
      </w:tr>
      <w:tr w:rsidR="001A3348" w14:paraId="5ABDF68D" w14:textId="77777777">
        <w:trPr>
          <w:trHeight w:val="769"/>
        </w:trPr>
        <w:tc>
          <w:tcPr>
            <w:tcW w:w="2330" w:type="dxa"/>
          </w:tcPr>
          <w:p w14:paraId="6AEF925C" w14:textId="77777777" w:rsidR="001A3348" w:rsidRDefault="001A3348">
            <w:pPr>
              <w:pStyle w:val="TableParagraph"/>
              <w:spacing w:before="10"/>
              <w:rPr>
                <w:sz w:val="21"/>
              </w:rPr>
            </w:pPr>
          </w:p>
          <w:p w14:paraId="03CECD56" w14:textId="77777777" w:rsidR="001A3348" w:rsidRDefault="00CE74D2">
            <w:pPr>
              <w:pStyle w:val="TableParagraph"/>
              <w:ind w:left="112"/>
              <w:rPr>
                <w:sz w:val="23"/>
              </w:rPr>
            </w:pPr>
            <w:r>
              <w:rPr>
                <w:sz w:val="23"/>
              </w:rPr>
              <w:t>Kate Whitney</w:t>
            </w:r>
          </w:p>
        </w:tc>
        <w:tc>
          <w:tcPr>
            <w:tcW w:w="7012" w:type="dxa"/>
          </w:tcPr>
          <w:p w14:paraId="2FA7FDBD" w14:textId="77777777" w:rsidR="001A3348" w:rsidRDefault="00CE74D2">
            <w:pPr>
              <w:pStyle w:val="TableParagraph"/>
              <w:spacing w:before="120"/>
              <w:ind w:left="110" w:right="891"/>
              <w:rPr>
                <w:sz w:val="23"/>
              </w:rPr>
            </w:pPr>
            <w:r>
              <w:rPr>
                <w:sz w:val="23"/>
              </w:rPr>
              <w:t>Ph.D. student at the School of Industrial Design at Georgia Institute of Technology</w:t>
            </w:r>
          </w:p>
        </w:tc>
      </w:tr>
    </w:tbl>
    <w:p w14:paraId="44A87695" w14:textId="77777777" w:rsidR="00856DEA" w:rsidRDefault="00856DEA"/>
    <w:sectPr w:rsidR="00856DEA">
      <w:pgSz w:w="12240" w:h="15840"/>
      <w:pgMar w:top="820" w:right="13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348"/>
    <w:rsid w:val="00165C4D"/>
    <w:rsid w:val="001A3348"/>
    <w:rsid w:val="00856DEA"/>
    <w:rsid w:val="00CE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2EFF7"/>
  <w15:docId w15:val="{A46A1F83-3C94-4CA4-95BB-C855CDEBA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2"/>
      <w:ind w:left="1567"/>
      <w:outlineLvl w:val="0"/>
    </w:pPr>
    <w:rPr>
      <w:rFonts w:ascii="Georgia" w:eastAsia="Georgia" w:hAnsi="Georgia" w:cs="Georg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dc.gov/cancer/crccp/sem.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dc.gov/nchs/data/icd/icfoverview_finalforwho10sept.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wcentral.org/sites/default/files/USAID-Community-Health-Framework_Version-1-0_October-28th-2015.pdf" TargetMode="External"/><Relationship Id="rId11" Type="http://schemas.openxmlformats.org/officeDocument/2006/relationships/hyperlink" Target="http://serve-learn-sustain.gatech.edu/home" TargetMode="External"/><Relationship Id="rId5" Type="http://schemas.openxmlformats.org/officeDocument/2006/relationships/hyperlink" Target="http://chwcentral.org/sites/default/files/USAID-Community-Health-Framework_Version-1-0_October-28th-2015.pdf" TargetMode="External"/><Relationship Id="rId10" Type="http://schemas.openxmlformats.org/officeDocument/2006/relationships/hyperlink" Target="http://www.cdc.gov/nccdphp/dch/about/index.htm" TargetMode="External"/><Relationship Id="rId4" Type="http://schemas.openxmlformats.org/officeDocument/2006/relationships/image" Target="media/image1.jpeg"/><Relationship Id="rId9" Type="http://schemas.openxmlformats.org/officeDocument/2006/relationships/hyperlink" Target="http://www.cdc.gov/nccdphp/dch/about/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Bethany Jacobs</dc:creator>
  <cp:lastModifiedBy>Bethany Jacobs</cp:lastModifiedBy>
  <cp:revision>3</cp:revision>
  <dcterms:created xsi:type="dcterms:W3CDTF">2018-11-02T18:00:00Z</dcterms:created>
  <dcterms:modified xsi:type="dcterms:W3CDTF">2018-11-16T15:49:00Z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Acrobat PDFMaker 18 for Word</vt:lpwstr>
  </property>
  <property fmtid="{D5CDD505-2E9C-101B-9397-08002B2CF9AE}" pid="4" name="LastSaved">
    <vt:filetime>2018-11-02T00:00:00Z</vt:filetime>
  </property>
</Properties>
</file>