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26D7" w14:textId="4993FC5E" w:rsidR="00C57639" w:rsidRPr="00DA51D1" w:rsidRDefault="00C57639" w:rsidP="00C57639">
      <w:pPr>
        <w:pBdr>
          <w:top w:val="nil"/>
          <w:left w:val="nil"/>
          <w:bottom w:val="nil"/>
          <w:right w:val="nil"/>
          <w:between w:val="nil"/>
        </w:pBdr>
        <w:spacing w:after="240" w:line="240" w:lineRule="auto"/>
        <w:jc w:val="center"/>
        <w:rPr>
          <w:rFonts w:ascii="Arial" w:eastAsia="Arial" w:hAnsi="Arial" w:cs="Arial"/>
          <w:color w:val="000000"/>
          <w:sz w:val="40"/>
          <w:szCs w:val="40"/>
        </w:rPr>
      </w:pPr>
      <w:r w:rsidRPr="00DA51D1">
        <w:rPr>
          <w:rFonts w:ascii="Arial" w:eastAsia="Arial" w:hAnsi="Arial" w:cs="Arial"/>
          <w:color w:val="000000"/>
          <w:sz w:val="40"/>
          <w:szCs w:val="40"/>
        </w:rPr>
        <w:t xml:space="preserve">Historic Old Fourth Ward Park: Histories and Contexts </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5220"/>
      </w:tblGrid>
      <w:tr w:rsidR="00C57639" w:rsidRPr="009D0C6E" w14:paraId="62F1CBF5" w14:textId="77777777" w:rsidTr="00716B98">
        <w:trPr>
          <w:trHeight w:val="10503"/>
        </w:trPr>
        <w:tc>
          <w:tcPr>
            <w:tcW w:w="4945" w:type="dxa"/>
          </w:tcPr>
          <w:p w14:paraId="25AEFD77" w14:textId="281EA9C2" w:rsidR="00C57639" w:rsidRPr="00DA51D1" w:rsidRDefault="00C57639" w:rsidP="00790003">
            <w:pPr>
              <w:spacing w:after="200"/>
              <w:jc w:val="center"/>
              <w:rPr>
                <w:rFonts w:ascii="Arial" w:eastAsia="Arial" w:hAnsi="Arial" w:cs="Arial"/>
                <w:b/>
                <w:color w:val="000000"/>
                <w:sz w:val="26"/>
                <w:szCs w:val="26"/>
              </w:rPr>
            </w:pPr>
            <w:r w:rsidRPr="00DA51D1">
              <w:rPr>
                <w:rFonts w:ascii="Arial" w:eastAsia="Arial" w:hAnsi="Arial" w:cs="Arial"/>
                <w:b/>
                <w:color w:val="000000"/>
                <w:sz w:val="26"/>
                <w:szCs w:val="26"/>
              </w:rPr>
              <w:t>The Park</w:t>
            </w:r>
          </w:p>
          <w:p w14:paraId="6F2A4526" w14:textId="77777777" w:rsidR="00C57639" w:rsidRPr="00DA51D1" w:rsidRDefault="00C57639" w:rsidP="00790003">
            <w:pPr>
              <w:spacing w:after="200"/>
              <w:rPr>
                <w:rFonts w:ascii="Arial" w:eastAsia="Arial" w:hAnsi="Arial" w:cs="Arial"/>
                <w:color w:val="000000"/>
              </w:rPr>
            </w:pPr>
            <w:proofErr w:type="spellStart"/>
            <w:r w:rsidRPr="00DA51D1">
              <w:rPr>
                <w:rFonts w:ascii="Arial" w:eastAsia="Arial" w:hAnsi="Arial" w:cs="Arial"/>
                <w:b/>
                <w:color w:val="000000"/>
              </w:rPr>
              <w:t>1800s</w:t>
            </w:r>
            <w:proofErr w:type="spellEnd"/>
            <w:r w:rsidRPr="00DA51D1">
              <w:rPr>
                <w:rFonts w:ascii="Arial" w:eastAsia="Arial" w:hAnsi="Arial" w:cs="Arial"/>
                <w:b/>
                <w:color w:val="000000"/>
              </w:rPr>
              <w:t>.</w:t>
            </w:r>
            <w:r w:rsidRPr="00DA51D1">
              <w:rPr>
                <w:rFonts w:ascii="Arial" w:eastAsia="Arial" w:hAnsi="Arial" w:cs="Arial"/>
                <w:color w:val="000000"/>
              </w:rPr>
              <w:t xml:space="preserve"> The site of the Historic Old Fourth Ward Park starts as the Ponce de Leon Springs. It supplies water to the city of Atlanta. </w:t>
            </w:r>
          </w:p>
          <w:p w14:paraId="7CA13D4C" w14:textId="7D8A2C64" w:rsidR="00C57639" w:rsidRPr="00DA51D1" w:rsidRDefault="00C57639" w:rsidP="00790003">
            <w:pPr>
              <w:spacing w:after="200"/>
              <w:rPr>
                <w:rFonts w:ascii="Arial" w:eastAsia="Arial" w:hAnsi="Arial" w:cs="Arial"/>
                <w:b/>
                <w:color w:val="000000"/>
              </w:rPr>
            </w:pPr>
            <w:r w:rsidRPr="00DA51D1">
              <w:rPr>
                <w:rFonts w:ascii="Arial" w:hAnsi="Arial" w:cs="Arial"/>
                <w:b/>
                <w:color w:val="000000"/>
              </w:rPr>
              <w:t xml:space="preserve">Early </w:t>
            </w:r>
            <w:proofErr w:type="spellStart"/>
            <w:r w:rsidRPr="00DA51D1">
              <w:rPr>
                <w:rFonts w:ascii="Arial" w:hAnsi="Arial" w:cs="Arial"/>
                <w:b/>
                <w:color w:val="000000"/>
              </w:rPr>
              <w:t>1900s</w:t>
            </w:r>
            <w:proofErr w:type="spellEnd"/>
            <w:r w:rsidRPr="00DA51D1">
              <w:rPr>
                <w:rFonts w:ascii="Arial" w:hAnsi="Arial" w:cs="Arial"/>
                <w:b/>
                <w:color w:val="000000"/>
              </w:rPr>
              <w:t>.</w:t>
            </w:r>
            <w:r w:rsidRPr="00DA51D1">
              <w:rPr>
                <w:rFonts w:ascii="Arial" w:hAnsi="Arial" w:cs="Arial"/>
                <w:color w:val="000000"/>
              </w:rPr>
              <w:t xml:space="preserve"> Developers build an amusement park at Ponce Springs, and later fill the lake in order to build a baseball stadium.</w:t>
            </w:r>
            <w:r w:rsidRPr="00DA51D1">
              <w:rPr>
                <w:rFonts w:ascii="Arial" w:eastAsia="Arial" w:hAnsi="Arial" w:cs="Arial"/>
                <w:b/>
                <w:color w:val="000000"/>
              </w:rPr>
              <w:t xml:space="preserve"> </w:t>
            </w:r>
          </w:p>
          <w:p w14:paraId="7A364F7A" w14:textId="77777777" w:rsidR="00C57639" w:rsidRPr="00DA51D1" w:rsidRDefault="00C57639" w:rsidP="00790003">
            <w:pPr>
              <w:spacing w:after="200"/>
              <w:rPr>
                <w:rFonts w:ascii="Arial" w:eastAsia="Arial" w:hAnsi="Arial" w:cs="Arial"/>
                <w:color w:val="000000"/>
              </w:rPr>
            </w:pPr>
            <w:r w:rsidRPr="00DA51D1">
              <w:rPr>
                <w:rFonts w:ascii="Arial" w:eastAsia="Arial" w:hAnsi="Arial" w:cs="Arial"/>
                <w:b/>
                <w:color w:val="000000"/>
              </w:rPr>
              <w:t>1928.</w:t>
            </w:r>
            <w:r w:rsidRPr="00DA51D1">
              <w:rPr>
                <w:rFonts w:ascii="Arial" w:eastAsia="Arial" w:hAnsi="Arial" w:cs="Arial"/>
                <w:color w:val="000000"/>
              </w:rPr>
              <w:t xml:space="preserve"> Sears-Roebuck builds its southeastern retail and distribution headquarters.</w:t>
            </w:r>
          </w:p>
          <w:p w14:paraId="1192B79D" w14:textId="77777777" w:rsidR="00C57639" w:rsidRPr="00DA51D1" w:rsidRDefault="00C57639" w:rsidP="00790003">
            <w:pPr>
              <w:spacing w:after="200"/>
              <w:rPr>
                <w:rFonts w:ascii="Arial" w:eastAsia="Arial" w:hAnsi="Arial" w:cs="Arial"/>
              </w:rPr>
            </w:pPr>
            <w:r w:rsidRPr="00DA51D1">
              <w:rPr>
                <w:rFonts w:ascii="Arial" w:eastAsia="Arial" w:hAnsi="Arial" w:cs="Arial"/>
                <w:b/>
              </w:rPr>
              <w:t>1986.</w:t>
            </w:r>
            <w:r w:rsidRPr="00DA51D1">
              <w:rPr>
                <w:rFonts w:ascii="Arial" w:eastAsia="Arial" w:hAnsi="Arial" w:cs="Arial"/>
              </w:rPr>
              <w:t xml:space="preserve"> Sears-Roebuck discontinues operations on the site.</w:t>
            </w:r>
          </w:p>
          <w:p w14:paraId="287A1B3C" w14:textId="77777777" w:rsidR="00C57639" w:rsidRPr="00DA51D1" w:rsidRDefault="00C57639" w:rsidP="00790003">
            <w:pPr>
              <w:spacing w:after="200"/>
              <w:rPr>
                <w:rFonts w:ascii="Arial" w:eastAsia="Arial" w:hAnsi="Arial" w:cs="Arial"/>
                <w:color w:val="000000"/>
              </w:rPr>
            </w:pPr>
            <w:r w:rsidRPr="00DA51D1">
              <w:rPr>
                <w:rFonts w:ascii="Arial" w:eastAsia="Arial" w:hAnsi="Arial" w:cs="Arial"/>
                <w:b/>
                <w:color w:val="000000"/>
              </w:rPr>
              <w:t>1990.</w:t>
            </w:r>
            <w:r w:rsidRPr="00DA51D1">
              <w:rPr>
                <w:rFonts w:ascii="Arial" w:eastAsia="Arial" w:hAnsi="Arial" w:cs="Arial"/>
                <w:color w:val="000000"/>
              </w:rPr>
              <w:t xml:space="preserve"> the City of Atlanta purchases the Sears building and converts it into office space for city operations, renaming it "City Hall East." However, </w:t>
            </w:r>
            <w:r w:rsidRPr="00DA51D1">
              <w:rPr>
                <w:rFonts w:ascii="Arial" w:eastAsia="Arial" w:hAnsi="Arial" w:cs="Arial"/>
              </w:rPr>
              <w:t xml:space="preserve">only about 10% of the site is actively used, costing taxpayers for a vacant property. In addition, </w:t>
            </w:r>
            <w:r w:rsidRPr="00DA51D1">
              <w:rPr>
                <w:rFonts w:ascii="Arial" w:eastAsia="Arial" w:hAnsi="Arial" w:cs="Arial"/>
                <w:color w:val="000000"/>
              </w:rPr>
              <w:t>the site’s basement frequently floods, and the area is known for having high crime rates.</w:t>
            </w:r>
            <w:r w:rsidRPr="00DA51D1">
              <w:rPr>
                <w:rStyle w:val="EndnoteReference"/>
                <w:rFonts w:ascii="Arial" w:eastAsia="Arial" w:hAnsi="Arial" w:cs="Arial"/>
                <w:color w:val="000000"/>
              </w:rPr>
              <w:endnoteReference w:id="1"/>
            </w:r>
          </w:p>
          <w:p w14:paraId="4130C876" w14:textId="77777777" w:rsidR="00C57639" w:rsidRPr="00DA51D1" w:rsidRDefault="00C57639" w:rsidP="00790003">
            <w:pPr>
              <w:spacing w:after="200"/>
              <w:rPr>
                <w:rFonts w:ascii="Arial" w:eastAsia="Arial" w:hAnsi="Arial" w:cs="Arial"/>
                <w:color w:val="000000"/>
              </w:rPr>
            </w:pPr>
            <w:r w:rsidRPr="00DA51D1">
              <w:rPr>
                <w:rFonts w:ascii="Arial" w:eastAsia="Arial" w:hAnsi="Arial" w:cs="Arial"/>
                <w:b/>
                <w:color w:val="000000"/>
              </w:rPr>
              <w:t>2011.</w:t>
            </w:r>
            <w:r w:rsidRPr="00DA51D1">
              <w:rPr>
                <w:rFonts w:ascii="Arial" w:eastAsia="Arial" w:hAnsi="Arial" w:cs="Arial"/>
                <w:color w:val="000000"/>
              </w:rPr>
              <w:t xml:space="preserve"> The City of Atlanta finally determines to address the chronic f</w:t>
            </w:r>
            <w:r w:rsidRPr="00DA51D1">
              <w:rPr>
                <w:rFonts w:ascii="Arial" w:eastAsia="Arial" w:hAnsi="Arial" w:cs="Arial"/>
              </w:rPr>
              <w:t xml:space="preserve">looding issues in the area. </w:t>
            </w:r>
            <w:r w:rsidRPr="00DA51D1">
              <w:rPr>
                <w:rFonts w:ascii="Arial" w:eastAsia="Arial" w:hAnsi="Arial" w:cs="Arial"/>
                <w:color w:val="000000"/>
              </w:rPr>
              <w:t xml:space="preserve">The typical solution in such situations, building a large cistern underground to control </w:t>
            </w:r>
            <w:proofErr w:type="spellStart"/>
            <w:r w:rsidRPr="00DA51D1">
              <w:rPr>
                <w:rFonts w:ascii="Arial" w:eastAsia="Arial" w:hAnsi="Arial" w:cs="Arial"/>
                <w:color w:val="000000"/>
              </w:rPr>
              <w:t>stormwater</w:t>
            </w:r>
            <w:proofErr w:type="spellEnd"/>
            <w:r w:rsidRPr="00DA51D1">
              <w:rPr>
                <w:rFonts w:ascii="Arial" w:eastAsia="Arial" w:hAnsi="Arial" w:cs="Arial"/>
                <w:color w:val="000000"/>
              </w:rPr>
              <w:t xml:space="preserve"> runoff, would cost $40 million. But Atlanta takes a different route: it builds a park, with a retention pond that can sustain runoff from a 500 year flood for $17 mill</w:t>
            </w:r>
            <w:r w:rsidRPr="00DA51D1">
              <w:rPr>
                <w:rFonts w:ascii="Arial" w:eastAsia="Arial" w:hAnsi="Arial" w:cs="Arial"/>
              </w:rPr>
              <w:t>ion less than the cistern</w:t>
            </w:r>
            <w:r w:rsidRPr="00DA51D1">
              <w:rPr>
                <w:rFonts w:ascii="Arial" w:eastAsia="Arial" w:hAnsi="Arial" w:cs="Arial"/>
                <w:color w:val="000000"/>
              </w:rPr>
              <w:t>. The park includes event spaces, walking and bike trails, a splashpad, and a skatepark, and has spurred many businesses.</w:t>
            </w:r>
            <w:r w:rsidRPr="00DA51D1">
              <w:rPr>
                <w:rStyle w:val="EndnoteReference"/>
                <w:rFonts w:ascii="Arial" w:eastAsia="Arial" w:hAnsi="Arial" w:cs="Arial"/>
                <w:color w:val="000000"/>
              </w:rPr>
              <w:endnoteReference w:id="2"/>
            </w:r>
          </w:p>
          <w:p w14:paraId="53F403E5" w14:textId="7F94E4FC" w:rsidR="00C57639" w:rsidRPr="00DA51D1" w:rsidRDefault="00C57639" w:rsidP="00790003">
            <w:pPr>
              <w:spacing w:after="200"/>
            </w:pPr>
            <w:r w:rsidRPr="00DA51D1">
              <w:rPr>
                <w:rFonts w:ascii="Arial" w:eastAsia="Arial" w:hAnsi="Arial" w:cs="Arial"/>
                <w:b/>
                <w:color w:val="000000"/>
              </w:rPr>
              <w:t>2014.</w:t>
            </w:r>
            <w:r w:rsidRPr="00DA51D1">
              <w:rPr>
                <w:rFonts w:ascii="Arial" w:eastAsia="Arial" w:hAnsi="Arial" w:cs="Arial"/>
                <w:color w:val="000000"/>
              </w:rPr>
              <w:t xml:space="preserve"> As a direct result of the park, Jamestown Properties </w:t>
            </w:r>
            <w:r w:rsidRPr="00DA51D1">
              <w:rPr>
                <w:rFonts w:ascii="Arial" w:eastAsia="Arial" w:hAnsi="Arial" w:cs="Arial"/>
              </w:rPr>
              <w:t>purchases and renovates</w:t>
            </w:r>
            <w:r w:rsidRPr="00DA51D1">
              <w:rPr>
                <w:rFonts w:ascii="Arial" w:eastAsia="Arial" w:hAnsi="Arial" w:cs="Arial"/>
                <w:color w:val="000000"/>
              </w:rPr>
              <w:t xml:space="preserve"> the City Hall East site, turning it into the largest adaptive re</w:t>
            </w:r>
            <w:r w:rsidRPr="00DA51D1">
              <w:rPr>
                <w:rFonts w:ascii="Arial" w:eastAsia="Arial" w:hAnsi="Arial" w:cs="Arial"/>
              </w:rPr>
              <w:t>use project in Atlanta’s history, including 1.1 million square feet of r</w:t>
            </w:r>
            <w:r w:rsidRPr="00DA51D1">
              <w:rPr>
                <w:rFonts w:ascii="Arial" w:eastAsia="Arial" w:hAnsi="Arial" w:cs="Arial"/>
                <w:color w:val="000000"/>
              </w:rPr>
              <w:t>etail, office space, and apartments now known as "Ponce City Market."</w:t>
            </w:r>
          </w:p>
        </w:tc>
        <w:tc>
          <w:tcPr>
            <w:tcW w:w="270" w:type="dxa"/>
          </w:tcPr>
          <w:p w14:paraId="53464C72" w14:textId="77777777" w:rsidR="00C57639" w:rsidRPr="00DA51D1" w:rsidRDefault="00C57639" w:rsidP="00790003">
            <w:pPr>
              <w:spacing w:after="200"/>
            </w:pPr>
          </w:p>
        </w:tc>
        <w:tc>
          <w:tcPr>
            <w:tcW w:w="5220" w:type="dxa"/>
          </w:tcPr>
          <w:p w14:paraId="55ED0029" w14:textId="77777777" w:rsidR="00C57639" w:rsidRPr="00DA51D1" w:rsidRDefault="00C57639" w:rsidP="00790003">
            <w:pPr>
              <w:spacing w:after="200"/>
              <w:jc w:val="center"/>
              <w:rPr>
                <w:rFonts w:ascii="Arial" w:eastAsia="Arial" w:hAnsi="Arial" w:cs="Arial"/>
                <w:b/>
                <w:color w:val="000000"/>
                <w:sz w:val="26"/>
                <w:szCs w:val="26"/>
              </w:rPr>
            </w:pPr>
            <w:r w:rsidRPr="00DA51D1">
              <w:rPr>
                <w:rFonts w:ascii="Arial" w:eastAsia="Arial" w:hAnsi="Arial" w:cs="Arial"/>
                <w:b/>
                <w:color w:val="000000"/>
                <w:sz w:val="26"/>
                <w:szCs w:val="26"/>
              </w:rPr>
              <w:t>The Old Fourth Ward</w:t>
            </w:r>
          </w:p>
          <w:p w14:paraId="6A58FA3A" w14:textId="77777777" w:rsidR="00C57639" w:rsidRPr="00DA51D1" w:rsidRDefault="00C57639" w:rsidP="00790003">
            <w:pPr>
              <w:spacing w:after="200"/>
              <w:rPr>
                <w:rFonts w:ascii="Arial" w:eastAsia="Arial" w:hAnsi="Arial" w:cs="Arial"/>
                <w:color w:val="000000"/>
              </w:rPr>
            </w:pPr>
            <w:r w:rsidRPr="00DA51D1">
              <w:rPr>
                <w:rFonts w:ascii="Arial" w:eastAsia="Arial" w:hAnsi="Arial" w:cs="Arial"/>
                <w:color w:val="000000"/>
              </w:rPr>
              <w:t xml:space="preserve">The Springs are an important community space for </w:t>
            </w:r>
            <w:proofErr w:type="spellStart"/>
            <w:r w:rsidRPr="00DA51D1">
              <w:rPr>
                <w:rFonts w:ascii="Arial" w:eastAsia="Arial" w:hAnsi="Arial" w:cs="Arial"/>
                <w:color w:val="000000"/>
              </w:rPr>
              <w:t>Atlantans</w:t>
            </w:r>
            <w:proofErr w:type="spellEnd"/>
            <w:r w:rsidRPr="00DA51D1">
              <w:rPr>
                <w:rFonts w:ascii="Arial" w:eastAsia="Arial" w:hAnsi="Arial" w:cs="Arial"/>
                <w:color w:val="000000"/>
              </w:rPr>
              <w:t>. Many visit the Ponce de Leon Lake to cool off during the summers.</w:t>
            </w:r>
          </w:p>
          <w:p w14:paraId="2AFF637F" w14:textId="02E55673" w:rsidR="00C57639" w:rsidRPr="00DA51D1" w:rsidRDefault="00C57639" w:rsidP="00790003">
            <w:pPr>
              <w:spacing w:after="200"/>
              <w:rPr>
                <w:rFonts w:ascii="Arial" w:eastAsia="Arial" w:hAnsi="Arial" w:cs="Arial"/>
                <w:color w:val="000000"/>
              </w:rPr>
            </w:pPr>
            <w:r w:rsidRPr="00DA51D1">
              <w:rPr>
                <w:rFonts w:ascii="Arial" w:eastAsia="Arial" w:hAnsi="Arial" w:cs="Arial"/>
                <w:color w:val="000000"/>
              </w:rPr>
              <w:t>African Americans become the majority demographic in The Old Fourth Ward during the first half of the 20</w:t>
            </w:r>
            <w:r w:rsidRPr="00DA51D1">
              <w:rPr>
                <w:rFonts w:ascii="Arial" w:eastAsia="Arial" w:hAnsi="Arial" w:cs="Arial"/>
                <w:color w:val="000000"/>
                <w:vertAlign w:val="superscript"/>
              </w:rPr>
              <w:t>th</w:t>
            </w:r>
            <w:r w:rsidRPr="00DA51D1">
              <w:rPr>
                <w:rFonts w:ascii="Arial" w:eastAsia="Arial" w:hAnsi="Arial" w:cs="Arial"/>
                <w:color w:val="000000"/>
              </w:rPr>
              <w:t xml:space="preserve"> century, with many middle and upper class black neighborhoods.</w:t>
            </w:r>
            <w:r w:rsidR="00EA5405" w:rsidRPr="00DA51D1">
              <w:rPr>
                <w:rStyle w:val="EndnoteReference"/>
                <w:rFonts w:ascii="Arial" w:eastAsia="Arial" w:hAnsi="Arial" w:cs="Arial"/>
                <w:color w:val="000000"/>
              </w:rPr>
              <w:endnoteReference w:id="3"/>
            </w:r>
          </w:p>
          <w:p w14:paraId="55EE5FD2" w14:textId="78A301A2" w:rsidR="005F6917" w:rsidRPr="00DA51D1" w:rsidRDefault="00C820EC" w:rsidP="00790003">
            <w:pPr>
              <w:spacing w:after="200"/>
              <w:rPr>
                <w:rFonts w:ascii="Arial" w:hAnsi="Arial" w:cs="Arial"/>
              </w:rPr>
            </w:pPr>
            <w:r w:rsidRPr="00DA51D1">
              <w:rPr>
                <w:rFonts w:ascii="Arial" w:hAnsi="Arial" w:cs="Arial"/>
              </w:rPr>
              <w:t xml:space="preserve">The Old Fourth Ward </w:t>
            </w:r>
            <w:r w:rsidR="005F6917" w:rsidRPr="00DA51D1">
              <w:rPr>
                <w:rFonts w:ascii="Arial" w:hAnsi="Arial" w:cs="Arial"/>
              </w:rPr>
              <w:t xml:space="preserve">was </w:t>
            </w:r>
            <w:r w:rsidRPr="00DA51D1">
              <w:rPr>
                <w:rFonts w:ascii="Arial" w:hAnsi="Arial" w:cs="Arial"/>
              </w:rPr>
              <w:t>Martin Luther King Jr.’s boyhood home</w:t>
            </w:r>
            <w:r w:rsidR="005F6917" w:rsidRPr="00DA51D1">
              <w:rPr>
                <w:rFonts w:ascii="Arial" w:hAnsi="Arial" w:cs="Arial"/>
              </w:rPr>
              <w:t xml:space="preserve">, and an important site for civil rights activism in the midcentury. Today, it includes the </w:t>
            </w:r>
            <w:hyperlink r:id="rId8" w:history="1">
              <w:r w:rsidR="005F6917" w:rsidRPr="00DA51D1">
                <w:rPr>
                  <w:rStyle w:val="Hyperlink"/>
                  <w:rFonts w:ascii="Arial" w:hAnsi="Arial" w:cs="Arial"/>
                </w:rPr>
                <w:t>Martin Luther King. Jr Historic Site</w:t>
              </w:r>
            </w:hyperlink>
            <w:r w:rsidR="005F6917" w:rsidRPr="00DA51D1">
              <w:rPr>
                <w:rFonts w:ascii="Arial" w:hAnsi="Arial" w:cs="Arial"/>
              </w:rPr>
              <w:t xml:space="preserve">. </w:t>
            </w:r>
          </w:p>
          <w:p w14:paraId="4E443127" w14:textId="72A086C1" w:rsidR="005F6917" w:rsidRPr="00DA51D1" w:rsidRDefault="005F6917" w:rsidP="00790003">
            <w:pPr>
              <w:spacing w:after="200"/>
              <w:rPr>
                <w:rFonts w:ascii="Arial" w:eastAsia="Arial" w:hAnsi="Arial" w:cs="Arial"/>
                <w:color w:val="000000"/>
              </w:rPr>
            </w:pPr>
            <w:r w:rsidRPr="00DA51D1">
              <w:rPr>
                <w:rFonts w:ascii="Arial" w:eastAsia="Arial" w:hAnsi="Arial" w:cs="Arial"/>
                <w:color w:val="000000"/>
              </w:rPr>
              <w:t xml:space="preserve">Though the Ponce de Leon Lake no longer exists, water has been running in the same direction for thousands of years. As a result, there are frequent floods, bringing sewage and wastewater runoff. This </w:t>
            </w:r>
            <w:r w:rsidR="00ED0865" w:rsidRPr="00DA51D1">
              <w:rPr>
                <w:rFonts w:ascii="Arial" w:eastAsia="Arial" w:hAnsi="Arial" w:cs="Arial"/>
                <w:color w:val="000000"/>
              </w:rPr>
              <w:t xml:space="preserve">hurts </w:t>
            </w:r>
            <w:r w:rsidRPr="00DA51D1">
              <w:rPr>
                <w:rFonts w:ascii="Arial" w:eastAsia="Arial" w:hAnsi="Arial" w:cs="Arial"/>
                <w:color w:val="000000"/>
              </w:rPr>
              <w:t>the majority-black community living in the Old Fourth Ward.</w:t>
            </w:r>
          </w:p>
          <w:p w14:paraId="5DA4CE29" w14:textId="5B333112" w:rsidR="00C57639" w:rsidRPr="00DA51D1" w:rsidRDefault="00C57639" w:rsidP="00790003">
            <w:pPr>
              <w:spacing w:after="200"/>
              <w:rPr>
                <w:rFonts w:ascii="Arial" w:hAnsi="Arial" w:cs="Arial"/>
              </w:rPr>
            </w:pPr>
            <w:r w:rsidRPr="00DA51D1">
              <w:rPr>
                <w:rFonts w:ascii="Arial" w:hAnsi="Arial" w:cs="Arial"/>
              </w:rPr>
              <w:t>In 2000, the Old Fourth Ward is 80% black and 16% white.</w:t>
            </w:r>
            <w:r w:rsidRPr="00DA51D1">
              <w:rPr>
                <w:rStyle w:val="EndnoteReference"/>
                <w:rFonts w:ascii="Arial" w:hAnsi="Arial" w:cs="Arial"/>
              </w:rPr>
              <w:endnoteReference w:id="4"/>
            </w:r>
          </w:p>
          <w:p w14:paraId="37E72AEE" w14:textId="7A85D14A" w:rsidR="00C57639" w:rsidRPr="00DA51D1" w:rsidRDefault="00C57639" w:rsidP="00790003">
            <w:pPr>
              <w:pBdr>
                <w:top w:val="nil"/>
                <w:left w:val="nil"/>
                <w:bottom w:val="nil"/>
                <w:right w:val="nil"/>
                <w:between w:val="nil"/>
              </w:pBdr>
              <w:spacing w:after="200"/>
              <w:rPr>
                <w:rFonts w:ascii="Arial" w:eastAsia="Arial" w:hAnsi="Arial" w:cs="Arial"/>
                <w:color w:val="000000"/>
              </w:rPr>
            </w:pPr>
            <w:r w:rsidRPr="00DA51D1">
              <w:rPr>
                <w:rFonts w:ascii="Arial" w:eastAsia="Arial" w:hAnsi="Arial" w:cs="Arial"/>
                <w:color w:val="000000"/>
              </w:rPr>
              <w:t>Before the Park, this area of the Old Fourth Ward is an important living and congregation spot for some of Atlanta’s least-valued citizens, such as the homeless and prostitution communities</w:t>
            </w:r>
            <w:r w:rsidR="00790003" w:rsidRPr="00DA51D1">
              <w:rPr>
                <w:rFonts w:ascii="Arial" w:eastAsia="Arial" w:hAnsi="Arial" w:cs="Arial"/>
                <w:color w:val="000000"/>
              </w:rPr>
              <w:t xml:space="preserve">. These communities </w:t>
            </w:r>
            <w:r w:rsidRPr="00DA51D1">
              <w:rPr>
                <w:rFonts w:ascii="Arial" w:eastAsia="Arial" w:hAnsi="Arial" w:cs="Arial"/>
                <w:color w:val="000000"/>
              </w:rPr>
              <w:t xml:space="preserve">are </w:t>
            </w:r>
            <w:r w:rsidR="00790003" w:rsidRPr="00DA51D1">
              <w:rPr>
                <w:rFonts w:ascii="Arial" w:eastAsia="Arial" w:hAnsi="Arial" w:cs="Arial"/>
                <w:color w:val="000000"/>
              </w:rPr>
              <w:t xml:space="preserve">ousted by development, rather than </w:t>
            </w:r>
            <w:r w:rsidRPr="00DA51D1">
              <w:rPr>
                <w:rFonts w:ascii="Arial" w:eastAsia="Arial" w:hAnsi="Arial" w:cs="Arial"/>
                <w:color w:val="000000"/>
              </w:rPr>
              <w:t xml:space="preserve">included in a vision for a safer Fourth Ward. </w:t>
            </w:r>
          </w:p>
          <w:p w14:paraId="4AEF8C9A" w14:textId="5D4E5992" w:rsidR="00C57639" w:rsidRPr="00DA51D1" w:rsidRDefault="00C57639" w:rsidP="00716B98">
            <w:pPr>
              <w:pBdr>
                <w:top w:val="nil"/>
                <w:left w:val="nil"/>
                <w:bottom w:val="nil"/>
                <w:right w:val="nil"/>
                <w:between w:val="nil"/>
              </w:pBdr>
              <w:spacing w:after="200"/>
              <w:rPr>
                <w:rFonts w:ascii="Arial" w:eastAsia="Arial" w:hAnsi="Arial" w:cs="Arial"/>
                <w:color w:val="000000"/>
              </w:rPr>
            </w:pPr>
            <w:r w:rsidRPr="00DA51D1">
              <w:rPr>
                <w:rFonts w:ascii="Arial" w:eastAsia="Arial" w:hAnsi="Arial" w:cs="Arial"/>
                <w:color w:val="000000"/>
              </w:rPr>
              <w:t>Furthermore, with BeltLine redevelopment, rents and property values skyrocket.</w:t>
            </w:r>
            <w:r w:rsidR="00790003" w:rsidRPr="00DA51D1">
              <w:rPr>
                <w:rStyle w:val="EndnoteReference"/>
                <w:rFonts w:ascii="Arial" w:eastAsia="Arial" w:hAnsi="Arial" w:cs="Arial"/>
                <w:color w:val="000000"/>
              </w:rPr>
              <w:endnoteReference w:id="5"/>
            </w:r>
            <w:r w:rsidRPr="00DA51D1">
              <w:rPr>
                <w:rFonts w:ascii="Arial" w:eastAsia="Arial" w:hAnsi="Arial" w:cs="Arial"/>
                <w:color w:val="000000"/>
              </w:rPr>
              <w:t xml:space="preserve"> Citizens and homeowners receive frequent, unsolicited attempts to buy them out cheap</w:t>
            </w:r>
            <w:r w:rsidR="009D0C6E" w:rsidRPr="00DA51D1">
              <w:rPr>
                <w:rFonts w:ascii="Arial" w:eastAsia="Arial" w:hAnsi="Arial" w:cs="Arial"/>
                <w:color w:val="000000"/>
              </w:rPr>
              <w:t>,</w:t>
            </w:r>
            <w:r w:rsidR="00790003" w:rsidRPr="00DA51D1">
              <w:rPr>
                <w:rStyle w:val="EndnoteReference"/>
                <w:rFonts w:ascii="Arial" w:eastAsia="Arial" w:hAnsi="Arial" w:cs="Arial"/>
                <w:color w:val="000000"/>
              </w:rPr>
              <w:endnoteReference w:id="6"/>
            </w:r>
            <w:r w:rsidR="009D0C6E" w:rsidRPr="00DA51D1">
              <w:rPr>
                <w:rFonts w:ascii="Arial" w:eastAsia="Arial" w:hAnsi="Arial" w:cs="Arial"/>
                <w:color w:val="000000"/>
              </w:rPr>
              <w:t xml:space="preserve"> </w:t>
            </w:r>
            <w:r w:rsidR="009D0C6E" w:rsidRPr="00DA51D1">
              <w:rPr>
                <w:rFonts w:ascii="Arial" w:hAnsi="Arial" w:cs="Arial"/>
              </w:rPr>
              <w:t xml:space="preserve">and promises to create affordable </w:t>
            </w:r>
            <w:r w:rsidR="009D0C6E" w:rsidRPr="00DA51D1">
              <w:rPr>
                <w:rFonts w:ascii="Arial" w:eastAsia="Arial" w:hAnsi="Arial" w:cs="Arial"/>
                <w:color w:val="000000"/>
              </w:rPr>
              <w:t>housing</w:t>
            </w:r>
            <w:r w:rsidR="00790003" w:rsidRPr="00DA51D1">
              <w:rPr>
                <w:rFonts w:ascii="Arial" w:eastAsia="Arial" w:hAnsi="Arial" w:cs="Arial"/>
                <w:color w:val="000000"/>
              </w:rPr>
              <w:t xml:space="preserve"> </w:t>
            </w:r>
            <w:r w:rsidR="009D0C6E" w:rsidRPr="00DA51D1">
              <w:rPr>
                <w:rFonts w:ascii="Arial" w:eastAsia="Arial" w:hAnsi="Arial" w:cs="Arial"/>
                <w:color w:val="000000"/>
              </w:rPr>
              <w:t>falter.</w:t>
            </w:r>
            <w:r w:rsidR="009D0C6E" w:rsidRPr="00DA51D1">
              <w:rPr>
                <w:rStyle w:val="EndnoteReference"/>
                <w:rFonts w:ascii="Arial" w:eastAsia="Arial" w:hAnsi="Arial" w:cs="Arial"/>
                <w:color w:val="000000"/>
              </w:rPr>
              <w:endnoteReference w:id="7"/>
            </w:r>
            <w:r w:rsidR="009D0C6E" w:rsidRPr="00DA51D1">
              <w:rPr>
                <w:rFonts w:ascii="Arial" w:eastAsia="Arial" w:hAnsi="Arial" w:cs="Arial"/>
                <w:color w:val="000000"/>
              </w:rPr>
              <w:t xml:space="preserve"> </w:t>
            </w:r>
            <w:r w:rsidRPr="00DA51D1">
              <w:rPr>
                <w:rFonts w:ascii="Arial" w:eastAsia="Arial" w:hAnsi="Arial" w:cs="Arial"/>
                <w:color w:val="000000"/>
              </w:rPr>
              <w:t>As a result, many of the communities that created the Old Fourth Ward, and are the trustees of its history, can no longer afford to live there.</w:t>
            </w:r>
            <w:r w:rsidR="00A85E6F" w:rsidRPr="00DA51D1">
              <w:rPr>
                <w:vertAlign w:val="superscript"/>
              </w:rPr>
              <w:endnoteReference w:id="8"/>
            </w:r>
            <w:r w:rsidR="00C820EC" w:rsidRPr="00DA51D1">
              <w:t xml:space="preserve"> </w:t>
            </w:r>
            <w:r w:rsidRPr="00DA51D1">
              <w:rPr>
                <w:rFonts w:ascii="Arial" w:eastAsia="Arial" w:hAnsi="Arial" w:cs="Arial"/>
                <w:color w:val="000000"/>
              </w:rPr>
              <w:t>In 2010, the black population has dropped to 55.9% and the white population has risen to 34.6%</w:t>
            </w:r>
            <w:r w:rsidR="00AC5919">
              <w:rPr>
                <w:rFonts w:ascii="Arial" w:eastAsia="Arial" w:hAnsi="Arial" w:cs="Arial"/>
                <w:color w:val="000000"/>
              </w:rPr>
              <w:t>.</w:t>
            </w:r>
            <w:r w:rsidR="00AC5919" w:rsidRPr="00AC5919">
              <w:rPr>
                <w:rFonts w:ascii="Arial" w:eastAsia="Arial" w:hAnsi="Arial" w:cs="Arial"/>
                <w:color w:val="000000"/>
                <w:vertAlign w:val="superscript"/>
              </w:rPr>
              <w:t>4</w:t>
            </w:r>
            <w:r w:rsidRPr="00DA51D1">
              <w:rPr>
                <w:rFonts w:ascii="Arial" w:eastAsia="Arial" w:hAnsi="Arial" w:cs="Arial"/>
                <w:color w:val="000000"/>
              </w:rPr>
              <w:t xml:space="preserve"> </w:t>
            </w:r>
            <w:r w:rsidR="00E26F1E" w:rsidRPr="00DA51D1">
              <w:rPr>
                <w:rFonts w:ascii="Arial" w:eastAsia="Arial" w:hAnsi="Arial" w:cs="Arial"/>
                <w:color w:val="000000"/>
              </w:rPr>
              <w:t>In Atlanta itself, the black population has dropped from 67% in 1990 to 54% in 2016.</w:t>
            </w:r>
            <w:r w:rsidR="00E26F1E" w:rsidRPr="00DA51D1">
              <w:rPr>
                <w:rFonts w:ascii="Arial" w:eastAsia="Arial" w:hAnsi="Arial" w:cs="Arial"/>
                <w:color w:val="000000"/>
                <w:vertAlign w:val="superscript"/>
              </w:rPr>
              <w:t>5</w:t>
            </w:r>
          </w:p>
        </w:tc>
      </w:tr>
    </w:tbl>
    <w:p w14:paraId="3FEF6B71" w14:textId="5EE298C7" w:rsidR="009D0C6E" w:rsidRPr="00C57639" w:rsidRDefault="00DA51D1" w:rsidP="009D0C6E">
      <w:pPr>
        <w:pBdr>
          <w:top w:val="nil"/>
          <w:left w:val="nil"/>
          <w:bottom w:val="nil"/>
          <w:right w:val="nil"/>
          <w:between w:val="nil"/>
        </w:pBdr>
        <w:spacing w:after="240" w:line="240" w:lineRule="auto"/>
        <w:jc w:val="center"/>
        <w:rPr>
          <w:rFonts w:ascii="Arial" w:eastAsia="Arial" w:hAnsi="Arial" w:cs="Arial"/>
          <w:color w:val="000000"/>
          <w:sz w:val="36"/>
          <w:szCs w:val="36"/>
        </w:rPr>
      </w:pPr>
      <w:r>
        <w:rPr>
          <w:rFonts w:ascii="Arial" w:eastAsia="Arial" w:hAnsi="Arial" w:cs="Arial"/>
          <w:color w:val="000000"/>
          <w:sz w:val="36"/>
          <w:szCs w:val="36"/>
        </w:rPr>
        <w:lastRenderedPageBreak/>
        <w:t>Applying Key Concepts to the Old Fourth Ward</w:t>
      </w:r>
    </w:p>
    <w:p w14:paraId="6C98E0A8" w14:textId="77777777" w:rsidR="009D0C6E" w:rsidRDefault="009D0C6E" w:rsidP="00716B98">
      <w:pPr>
        <w:pBdr>
          <w:top w:val="nil"/>
          <w:left w:val="nil"/>
          <w:bottom w:val="nil"/>
          <w:right w:val="nil"/>
          <w:between w:val="nil"/>
        </w:pBdr>
        <w:spacing w:after="120" w:line="240" w:lineRule="auto"/>
        <w:rPr>
          <w:rFonts w:ascii="Arial" w:eastAsia="Arial" w:hAnsi="Arial" w:cs="Arial"/>
          <w:color w:val="000000"/>
          <w:sz w:val="23"/>
          <w:szCs w:val="23"/>
        </w:rPr>
      </w:pPr>
    </w:p>
    <w:p w14:paraId="66855F8F" w14:textId="5EAA7B54" w:rsidR="00716B98" w:rsidRPr="00C15FAC" w:rsidRDefault="00716B98" w:rsidP="00716B98">
      <w:pPr>
        <w:pBdr>
          <w:top w:val="nil"/>
          <w:left w:val="nil"/>
          <w:bottom w:val="nil"/>
          <w:right w:val="nil"/>
          <w:between w:val="nil"/>
        </w:pBdr>
        <w:spacing w:after="120" w:line="240" w:lineRule="auto"/>
        <w:rPr>
          <w:rFonts w:ascii="Arial" w:eastAsia="Arial" w:hAnsi="Arial" w:cs="Arial"/>
          <w:color w:val="000000"/>
        </w:rPr>
      </w:pPr>
      <w:r w:rsidRPr="00C15FAC">
        <w:rPr>
          <w:rFonts w:ascii="Arial" w:eastAsia="Arial" w:hAnsi="Arial" w:cs="Arial"/>
          <w:color w:val="000000"/>
        </w:rPr>
        <w:t xml:space="preserve">The </w:t>
      </w:r>
      <w:r w:rsidR="00E26F1E" w:rsidRPr="00C15FAC">
        <w:rPr>
          <w:rFonts w:ascii="Arial" w:eastAsia="Arial" w:hAnsi="Arial" w:cs="Arial"/>
          <w:color w:val="000000"/>
        </w:rPr>
        <w:t xml:space="preserve">Historic </w:t>
      </w:r>
      <w:r w:rsidRPr="00C15FAC">
        <w:rPr>
          <w:rFonts w:ascii="Arial" w:eastAsia="Arial" w:hAnsi="Arial" w:cs="Arial"/>
          <w:color w:val="000000"/>
        </w:rPr>
        <w:t xml:space="preserve">Old Fourth Ward </w:t>
      </w:r>
      <w:r w:rsidR="00E26F1E" w:rsidRPr="00C15FAC">
        <w:rPr>
          <w:rFonts w:ascii="Arial" w:eastAsia="Arial" w:hAnsi="Arial" w:cs="Arial"/>
          <w:color w:val="000000"/>
        </w:rPr>
        <w:t>Park constitutes a triumph of engineering ingenuity and economic revitalization, while simultaneously raising important questions about gentrification and population displacement</w:t>
      </w:r>
      <w:r w:rsidR="00DA51D1" w:rsidRPr="00C15FAC">
        <w:rPr>
          <w:rFonts w:ascii="Arial" w:eastAsia="Arial" w:hAnsi="Arial" w:cs="Arial"/>
          <w:color w:val="000000"/>
        </w:rPr>
        <w:t xml:space="preserve"> in the Old Fourth Ward itself</w:t>
      </w:r>
      <w:r w:rsidR="00E26F1E" w:rsidRPr="00C15FAC">
        <w:rPr>
          <w:rFonts w:ascii="Arial" w:eastAsia="Arial" w:hAnsi="Arial" w:cs="Arial"/>
          <w:color w:val="000000"/>
        </w:rPr>
        <w:t xml:space="preserve">. Across the nation, many are asking </w:t>
      </w:r>
      <w:r w:rsidR="00C613C4">
        <w:rPr>
          <w:rFonts w:ascii="Arial" w:eastAsia="Arial" w:hAnsi="Arial" w:cs="Arial"/>
          <w:color w:val="000000"/>
        </w:rPr>
        <w:t>similar</w:t>
      </w:r>
      <w:r w:rsidR="00E26F1E" w:rsidRPr="00C15FAC">
        <w:rPr>
          <w:rFonts w:ascii="Arial" w:eastAsia="Arial" w:hAnsi="Arial" w:cs="Arial"/>
          <w:color w:val="000000"/>
        </w:rPr>
        <w:t xml:space="preserve"> questions about other urban renewal projects</w:t>
      </w:r>
      <w:r w:rsidR="009D0C6E" w:rsidRPr="00C15FAC">
        <w:rPr>
          <w:rFonts w:ascii="Arial" w:eastAsia="Arial" w:hAnsi="Arial" w:cs="Arial"/>
          <w:color w:val="000000"/>
        </w:rPr>
        <w:t>.</w:t>
      </w:r>
      <w:r w:rsidR="00E26F1E" w:rsidRPr="00C15FAC">
        <w:rPr>
          <w:rStyle w:val="EndnoteReference"/>
          <w:rFonts w:ascii="Arial" w:eastAsia="Arial" w:hAnsi="Arial" w:cs="Arial"/>
          <w:color w:val="000000"/>
        </w:rPr>
        <w:endnoteReference w:id="9"/>
      </w:r>
      <w:r w:rsidR="00E26F1E" w:rsidRPr="00C15FAC">
        <w:rPr>
          <w:rFonts w:ascii="Arial" w:eastAsia="Arial" w:hAnsi="Arial" w:cs="Arial"/>
          <w:color w:val="000000"/>
        </w:rPr>
        <w:t xml:space="preserve"> </w:t>
      </w:r>
    </w:p>
    <w:p w14:paraId="2018DBF6" w14:textId="18801C6C" w:rsidR="00DA51D1" w:rsidRPr="00C15FAC" w:rsidRDefault="00DA51D1" w:rsidP="00716B98">
      <w:pPr>
        <w:pBdr>
          <w:top w:val="nil"/>
          <w:left w:val="nil"/>
          <w:bottom w:val="nil"/>
          <w:right w:val="nil"/>
          <w:between w:val="nil"/>
        </w:pBdr>
        <w:spacing w:after="120" w:line="240" w:lineRule="auto"/>
        <w:rPr>
          <w:rFonts w:ascii="Arial" w:eastAsia="Arial" w:hAnsi="Arial" w:cs="Arial"/>
          <w:color w:val="000000"/>
        </w:rPr>
      </w:pPr>
      <w:r w:rsidRPr="00C15FAC">
        <w:rPr>
          <w:rFonts w:ascii="Arial" w:eastAsia="Arial" w:hAnsi="Arial" w:cs="Arial"/>
          <w:color w:val="000000"/>
        </w:rPr>
        <w:t xml:space="preserve">One way to approach these questions is to think about the key concepts described in the </w:t>
      </w:r>
      <w:hyperlink r:id="rId9" w:history="1">
        <w:r w:rsidR="000E5126" w:rsidRPr="00C15FAC">
          <w:rPr>
            <w:rStyle w:val="Hyperlink"/>
            <w:rFonts w:ascii="Arial" w:hAnsi="Arial" w:cs="Arial"/>
            <w:lang w:val="en"/>
          </w:rPr>
          <w:t>Summer Session Sustainability Track Framework</w:t>
        </w:r>
      </w:hyperlink>
      <w:r w:rsidRPr="00C15FAC">
        <w:rPr>
          <w:rFonts w:ascii="Arial" w:eastAsia="Arial" w:hAnsi="Arial" w:cs="Arial"/>
          <w:color w:val="000000"/>
        </w:rPr>
        <w:t xml:space="preserve">. These key concepts can serve as a barometer for assessing infrastructure projects like the Historic Old Fourth Ward Park. </w:t>
      </w:r>
    </w:p>
    <w:p w14:paraId="00BCD061" w14:textId="77777777" w:rsidR="008972C8" w:rsidRPr="00C15FAC" w:rsidRDefault="00DA51D1" w:rsidP="000E5126">
      <w:pPr>
        <w:pBdr>
          <w:top w:val="nil"/>
          <w:left w:val="nil"/>
          <w:bottom w:val="nil"/>
          <w:right w:val="nil"/>
          <w:between w:val="nil"/>
        </w:pBdr>
        <w:spacing w:after="120" w:line="240" w:lineRule="auto"/>
        <w:rPr>
          <w:rFonts w:ascii="Arial" w:eastAsia="Arial" w:hAnsi="Arial" w:cs="Arial"/>
          <w:color w:val="000000"/>
        </w:rPr>
      </w:pPr>
      <w:r w:rsidRPr="00C15FAC">
        <w:rPr>
          <w:rFonts w:ascii="Arial" w:eastAsia="Arial" w:hAnsi="Arial" w:cs="Arial"/>
          <w:color w:val="000000"/>
        </w:rPr>
        <w:t>For today’s exercise, we’ve placed a card on your table</w:t>
      </w:r>
      <w:r w:rsidR="000E5126" w:rsidRPr="00C15FAC">
        <w:rPr>
          <w:rFonts w:ascii="Arial" w:eastAsia="Arial" w:hAnsi="Arial" w:cs="Arial"/>
          <w:color w:val="000000"/>
        </w:rPr>
        <w:t>. On one side of the card you’ll find a key concept from our framework. On the other side you’ll find a set of questions</w:t>
      </w:r>
      <w:r w:rsidR="008972C8" w:rsidRPr="00C15FAC">
        <w:rPr>
          <w:rFonts w:ascii="Arial" w:eastAsia="Arial" w:hAnsi="Arial" w:cs="Arial"/>
          <w:color w:val="000000"/>
        </w:rPr>
        <w:t>:</w:t>
      </w:r>
    </w:p>
    <w:p w14:paraId="2967BC01" w14:textId="34970BE8" w:rsidR="008972C8" w:rsidRPr="00C15FAC" w:rsidRDefault="008972C8" w:rsidP="008972C8">
      <w:pPr>
        <w:pStyle w:val="ListParagraph"/>
        <w:numPr>
          <w:ilvl w:val="0"/>
          <w:numId w:val="3"/>
        </w:numPr>
        <w:pBdr>
          <w:top w:val="nil"/>
          <w:left w:val="nil"/>
          <w:bottom w:val="nil"/>
          <w:right w:val="nil"/>
          <w:between w:val="nil"/>
        </w:pBdr>
        <w:spacing w:after="120" w:line="240" w:lineRule="auto"/>
        <w:rPr>
          <w:rFonts w:ascii="Arial" w:eastAsia="Arial" w:hAnsi="Arial" w:cs="Arial"/>
          <w:color w:val="000000"/>
        </w:rPr>
      </w:pPr>
      <w:r w:rsidRPr="00C15FAC">
        <w:rPr>
          <w:rFonts w:ascii="Arial" w:eastAsia="Arial" w:hAnsi="Arial" w:cs="Arial"/>
          <w:color w:val="000000"/>
        </w:rPr>
        <w:t xml:space="preserve">Select one member of your group to take notes. </w:t>
      </w:r>
    </w:p>
    <w:p w14:paraId="6A955AB4" w14:textId="4C455384" w:rsidR="008972C8" w:rsidRPr="00C15FAC" w:rsidRDefault="00DA51D1" w:rsidP="008972C8">
      <w:pPr>
        <w:pStyle w:val="ListParagraph"/>
        <w:numPr>
          <w:ilvl w:val="0"/>
          <w:numId w:val="3"/>
        </w:numPr>
        <w:pBdr>
          <w:top w:val="nil"/>
          <w:left w:val="nil"/>
          <w:bottom w:val="nil"/>
          <w:right w:val="nil"/>
          <w:between w:val="nil"/>
        </w:pBdr>
        <w:spacing w:after="120" w:line="240" w:lineRule="auto"/>
        <w:rPr>
          <w:rFonts w:ascii="Arial" w:eastAsia="Arial" w:hAnsi="Arial" w:cs="Arial"/>
          <w:color w:val="000000"/>
        </w:rPr>
      </w:pPr>
      <w:r w:rsidRPr="00C15FAC">
        <w:rPr>
          <w:rFonts w:ascii="Arial" w:eastAsia="Arial" w:hAnsi="Arial" w:cs="Arial"/>
          <w:color w:val="000000"/>
        </w:rPr>
        <w:t xml:space="preserve">Working with your group, </w:t>
      </w:r>
      <w:r w:rsidR="000E5126" w:rsidRPr="00C15FAC">
        <w:rPr>
          <w:rFonts w:ascii="Arial" w:eastAsia="Arial" w:hAnsi="Arial" w:cs="Arial"/>
          <w:color w:val="000000"/>
        </w:rPr>
        <w:t xml:space="preserve">talk through the </w:t>
      </w:r>
      <w:r w:rsidR="00C15FAC">
        <w:rPr>
          <w:rFonts w:ascii="Arial" w:eastAsia="Arial" w:hAnsi="Arial" w:cs="Arial"/>
          <w:color w:val="000000"/>
        </w:rPr>
        <w:t xml:space="preserve">key </w:t>
      </w:r>
      <w:r w:rsidR="000E5126" w:rsidRPr="00C15FAC">
        <w:rPr>
          <w:rFonts w:ascii="Arial" w:eastAsia="Arial" w:hAnsi="Arial" w:cs="Arial"/>
          <w:color w:val="000000"/>
        </w:rPr>
        <w:t>concept, and the questions</w:t>
      </w:r>
      <w:r w:rsidR="008972C8" w:rsidRPr="00C15FAC">
        <w:rPr>
          <w:rFonts w:ascii="Arial" w:eastAsia="Arial" w:hAnsi="Arial" w:cs="Arial"/>
          <w:color w:val="000000"/>
        </w:rPr>
        <w:t xml:space="preserve">. </w:t>
      </w:r>
    </w:p>
    <w:p w14:paraId="34AC5DAA" w14:textId="70D007F0" w:rsidR="00C613C4" w:rsidRDefault="008972C8" w:rsidP="008972C8">
      <w:pPr>
        <w:pStyle w:val="ListParagraph"/>
        <w:numPr>
          <w:ilvl w:val="0"/>
          <w:numId w:val="3"/>
        </w:numPr>
        <w:pBdr>
          <w:top w:val="nil"/>
          <w:left w:val="nil"/>
          <w:bottom w:val="nil"/>
          <w:right w:val="nil"/>
          <w:between w:val="nil"/>
        </w:pBdr>
        <w:spacing w:after="120" w:line="240" w:lineRule="auto"/>
        <w:rPr>
          <w:rFonts w:ascii="Arial" w:eastAsia="Arial" w:hAnsi="Arial" w:cs="Arial"/>
          <w:color w:val="000000"/>
        </w:rPr>
      </w:pPr>
      <w:r w:rsidRPr="00C15FAC">
        <w:rPr>
          <w:rFonts w:ascii="Arial" w:eastAsia="Arial" w:hAnsi="Arial" w:cs="Arial"/>
          <w:color w:val="000000"/>
        </w:rPr>
        <w:t xml:space="preserve">The final question on your card asks you to prepare an answer that you’ll share with the entire group. Work together to decide what your answer will be, and elect one person to share that answer with the entire group. </w:t>
      </w:r>
      <w:r w:rsidR="00ED60E9">
        <w:rPr>
          <w:rFonts w:ascii="Arial" w:eastAsia="Arial" w:hAnsi="Arial" w:cs="Arial"/>
          <w:color w:val="000000"/>
        </w:rPr>
        <w:t>You’ll have butcher paper and markers, so feel free to write and draw!</w:t>
      </w:r>
    </w:p>
    <w:p w14:paraId="0AAD5A03" w14:textId="77777777" w:rsidR="00716B98" w:rsidRDefault="00716B98" w:rsidP="000B7769"/>
    <w:sectPr w:rsidR="00716B98" w:rsidSect="00C57639">
      <w:endnotePr>
        <w:numFmt w:val="decimal"/>
      </w:endnotePr>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B2FB" w14:textId="77777777" w:rsidR="00686245" w:rsidRDefault="00686245" w:rsidP="00C57639">
      <w:pPr>
        <w:spacing w:after="0" w:line="240" w:lineRule="auto"/>
      </w:pPr>
      <w:r>
        <w:separator/>
      </w:r>
    </w:p>
  </w:endnote>
  <w:endnote w:type="continuationSeparator" w:id="0">
    <w:p w14:paraId="6858D400" w14:textId="77777777" w:rsidR="00686245" w:rsidRDefault="00686245" w:rsidP="00C57639">
      <w:pPr>
        <w:spacing w:after="0" w:line="240" w:lineRule="auto"/>
      </w:pPr>
      <w:r>
        <w:continuationSeparator/>
      </w:r>
    </w:p>
  </w:endnote>
  <w:endnote w:id="1">
    <w:p w14:paraId="09C420E8" w14:textId="799233ED" w:rsidR="00E52480" w:rsidRPr="00EA5405" w:rsidRDefault="008972C8" w:rsidP="00DA51D1">
      <w:pPr>
        <w:pStyle w:val="EndnoteText"/>
        <w:spacing w:after="120"/>
        <w:rPr>
          <w:rFonts w:ascii="Arial" w:hAnsi="Arial" w:cs="Arial"/>
          <w:b/>
        </w:rPr>
      </w:pPr>
      <w:r>
        <w:rPr>
          <w:rFonts w:ascii="Arial" w:hAnsi="Arial" w:cs="Arial"/>
          <w:b/>
        </w:rPr>
        <w:t>Referen</w:t>
      </w:r>
      <w:bookmarkStart w:id="0" w:name="_GoBack"/>
      <w:bookmarkEnd w:id="0"/>
      <w:r>
        <w:rPr>
          <w:rFonts w:ascii="Arial" w:hAnsi="Arial" w:cs="Arial"/>
          <w:b/>
        </w:rPr>
        <w:t>ces</w:t>
      </w:r>
    </w:p>
    <w:p w14:paraId="260DA6A1" w14:textId="2A004AD5" w:rsidR="00E52480" w:rsidRPr="009D0C6E" w:rsidRDefault="00E52480" w:rsidP="00DA51D1">
      <w:pPr>
        <w:pStyle w:val="EndnoteText"/>
        <w:spacing w:after="120"/>
        <w:rPr>
          <w:rFonts w:ascii="Arial" w:hAnsi="Arial" w:cs="Arial"/>
        </w:rPr>
      </w:pPr>
      <w:r w:rsidRPr="009D0C6E">
        <w:rPr>
          <w:rStyle w:val="EndnoteReference"/>
          <w:rFonts w:ascii="Arial" w:hAnsi="Arial" w:cs="Arial"/>
          <w:vertAlign w:val="baseline"/>
        </w:rPr>
        <w:endnoteRef/>
      </w:r>
      <w:r w:rsidRPr="009D0C6E">
        <w:rPr>
          <w:rFonts w:ascii="Arial" w:hAnsi="Arial" w:cs="Arial"/>
        </w:rPr>
        <w:t xml:space="preserve">. </w:t>
      </w:r>
      <w:hyperlink r:id="rId1" w:tgtFrame="_blank" w:history="1">
        <w:proofErr w:type="spellStart"/>
        <w:r w:rsidRPr="009D0C6E">
          <w:rPr>
            <w:rStyle w:val="Hyperlink"/>
            <w:rFonts w:ascii="Arial" w:hAnsi="Arial" w:cs="Arial"/>
          </w:rPr>
          <w:t>Weible</w:t>
        </w:r>
        <w:proofErr w:type="spellEnd"/>
        <w:r w:rsidRPr="009D0C6E">
          <w:rPr>
            <w:rStyle w:val="Hyperlink"/>
            <w:rFonts w:ascii="Arial" w:hAnsi="Arial" w:cs="Arial"/>
          </w:rPr>
          <w:t>, David. "Ponce City Market: Atlanta's History in the Making." National Trust for Historic Preservation (2013).</w:t>
        </w:r>
      </w:hyperlink>
      <w:r w:rsidRPr="009D0C6E">
        <w:rPr>
          <w:rFonts w:ascii="Arial" w:hAnsi="Arial" w:cs="Arial"/>
        </w:rPr>
        <w:t xml:space="preserve"> </w:t>
      </w:r>
    </w:p>
  </w:endnote>
  <w:endnote w:id="2">
    <w:p w14:paraId="49EC760B" w14:textId="6843A232" w:rsidR="00E52480" w:rsidRPr="009D0C6E" w:rsidRDefault="00E52480" w:rsidP="00DA51D1">
      <w:pPr>
        <w:pStyle w:val="EndnoteText"/>
        <w:spacing w:after="120"/>
        <w:rPr>
          <w:rFonts w:ascii="Arial" w:hAnsi="Arial" w:cs="Arial"/>
        </w:rPr>
      </w:pPr>
      <w:r w:rsidRPr="009D0C6E">
        <w:rPr>
          <w:rStyle w:val="EndnoteReference"/>
          <w:rFonts w:ascii="Arial" w:hAnsi="Arial" w:cs="Arial"/>
          <w:vertAlign w:val="baseline"/>
        </w:rPr>
        <w:endnoteRef/>
      </w:r>
      <w:r w:rsidRPr="009D0C6E">
        <w:rPr>
          <w:rFonts w:ascii="Arial" w:hAnsi="Arial" w:cs="Arial"/>
        </w:rPr>
        <w:t xml:space="preserve">. </w:t>
      </w:r>
      <w:hyperlink r:id="rId2" w:tgtFrame="_blank" w:history="1">
        <w:proofErr w:type="spellStart"/>
        <w:r w:rsidRPr="009D0C6E">
          <w:rPr>
            <w:rStyle w:val="Hyperlink"/>
            <w:rFonts w:ascii="Arial" w:hAnsi="Arial" w:cs="Arial"/>
          </w:rPr>
          <w:t>ASCE</w:t>
        </w:r>
        <w:proofErr w:type="spellEnd"/>
        <w:r w:rsidRPr="009D0C6E">
          <w:rPr>
            <w:rStyle w:val="Hyperlink"/>
            <w:rFonts w:ascii="Arial" w:hAnsi="Arial" w:cs="Arial"/>
          </w:rPr>
          <w:t>, American Society of Civil Engineers. "Atlanta Historic Fourth Ward Park Project."</w:t>
        </w:r>
      </w:hyperlink>
    </w:p>
  </w:endnote>
  <w:endnote w:id="3">
    <w:p w14:paraId="33322CE1" w14:textId="71E3A565" w:rsidR="00EA5405" w:rsidRPr="009D0C6E" w:rsidRDefault="00EA5405" w:rsidP="00DA51D1">
      <w:pPr>
        <w:pStyle w:val="EndnoteText"/>
        <w:spacing w:after="120"/>
        <w:rPr>
          <w:rFonts w:ascii="Arial" w:hAnsi="Arial" w:cs="Arial"/>
        </w:rPr>
      </w:pPr>
      <w:r w:rsidRPr="009D0C6E">
        <w:rPr>
          <w:rStyle w:val="EndnoteReference"/>
          <w:rFonts w:ascii="Arial" w:hAnsi="Arial" w:cs="Arial"/>
          <w:vertAlign w:val="baseline"/>
        </w:rPr>
        <w:endnoteRef/>
      </w:r>
      <w:r w:rsidR="00AC5919">
        <w:rPr>
          <w:rStyle w:val="EndnoteReference"/>
          <w:rFonts w:ascii="Arial" w:hAnsi="Arial" w:cs="Arial"/>
          <w:vertAlign w:val="baseline"/>
        </w:rPr>
        <w:t>.</w:t>
      </w:r>
      <w:r w:rsidRPr="009D0C6E">
        <w:rPr>
          <w:rStyle w:val="EndnoteReference"/>
          <w:rFonts w:ascii="Arial" w:hAnsi="Arial" w:cs="Arial"/>
          <w:vertAlign w:val="baseline"/>
        </w:rPr>
        <w:t xml:space="preserve"> Lands</w:t>
      </w:r>
      <w:r w:rsidRPr="009D0C6E">
        <w:rPr>
          <w:rFonts w:ascii="Arial" w:hAnsi="Arial" w:cs="Arial"/>
        </w:rPr>
        <w:t xml:space="preserve">, LeeAnn. </w:t>
      </w:r>
      <w:r w:rsidRPr="009D0C6E">
        <w:rPr>
          <w:rFonts w:ascii="Arial" w:hAnsi="Arial" w:cs="Arial"/>
          <w:i/>
          <w:iCs/>
        </w:rPr>
        <w:t>The Culture of Property Race, Class, and Housing Landscapes in Atlanta, 1880-1950</w:t>
      </w:r>
      <w:r w:rsidRPr="009D0C6E">
        <w:rPr>
          <w:rFonts w:ascii="Arial" w:hAnsi="Arial" w:cs="Arial"/>
        </w:rPr>
        <w:t>. Politics and Culture in the Twentieth-century South. Athens, Ga.: University of Georgia Press, 2009.</w:t>
      </w:r>
    </w:p>
  </w:endnote>
  <w:endnote w:id="4">
    <w:p w14:paraId="33DD03F1" w14:textId="15F61A1B" w:rsidR="00E52480" w:rsidRPr="009D0C6E" w:rsidRDefault="00E52480" w:rsidP="00DA51D1">
      <w:pPr>
        <w:pStyle w:val="EndnoteText"/>
        <w:spacing w:after="120"/>
        <w:rPr>
          <w:rFonts w:ascii="Arial" w:hAnsi="Arial" w:cs="Arial"/>
        </w:rPr>
      </w:pPr>
      <w:r w:rsidRPr="009D0C6E">
        <w:rPr>
          <w:rStyle w:val="EndnoteReference"/>
          <w:rFonts w:ascii="Arial" w:hAnsi="Arial" w:cs="Arial"/>
          <w:vertAlign w:val="baseline"/>
        </w:rPr>
        <w:endnoteRef/>
      </w:r>
      <w:r w:rsidRPr="009D0C6E">
        <w:rPr>
          <w:rFonts w:ascii="Arial" w:hAnsi="Arial" w:cs="Arial"/>
        </w:rPr>
        <w:t>. 2000 and 2010 Census Redistricting Data (Public Law 94-171).</w:t>
      </w:r>
    </w:p>
  </w:endnote>
  <w:endnote w:id="5">
    <w:p w14:paraId="185E5EA9" w14:textId="049A62DF" w:rsidR="00E52480" w:rsidRPr="009D0C6E" w:rsidRDefault="00E52480" w:rsidP="00DA51D1">
      <w:pPr>
        <w:pStyle w:val="EndnoteText"/>
        <w:spacing w:after="120"/>
        <w:rPr>
          <w:rFonts w:ascii="Arial" w:hAnsi="Arial" w:cs="Arial"/>
        </w:rPr>
      </w:pPr>
      <w:r w:rsidRPr="009D0C6E">
        <w:rPr>
          <w:rStyle w:val="EndnoteReference"/>
          <w:rFonts w:ascii="Arial" w:hAnsi="Arial" w:cs="Arial"/>
          <w:vertAlign w:val="baseline"/>
        </w:rPr>
        <w:endnoteRef/>
      </w:r>
      <w:r w:rsidRPr="009D0C6E">
        <w:rPr>
          <w:rFonts w:ascii="Arial" w:hAnsi="Arial" w:cs="Arial"/>
        </w:rPr>
        <w:t xml:space="preserve">. </w:t>
      </w:r>
      <w:hyperlink r:id="rId3" w:history="1">
        <w:r w:rsidR="00C01A19" w:rsidRPr="009D0C6E">
          <w:rPr>
            <w:rStyle w:val="Hyperlink"/>
            <w:rFonts w:ascii="Arial" w:hAnsi="Arial" w:cs="Arial"/>
          </w:rPr>
          <w:t xml:space="preserve">Housing Justice League and Research Action Cooperative. </w:t>
        </w:r>
        <w:proofErr w:type="spellStart"/>
        <w:r w:rsidR="00C01A19" w:rsidRPr="009D0C6E">
          <w:rPr>
            <w:rStyle w:val="Hyperlink"/>
            <w:rFonts w:ascii="Arial" w:hAnsi="Arial" w:cs="Arial"/>
          </w:rPr>
          <w:t>BeltLining</w:t>
        </w:r>
        <w:proofErr w:type="spellEnd"/>
        <w:r w:rsidR="00C01A19" w:rsidRPr="009D0C6E">
          <w:rPr>
            <w:rStyle w:val="Hyperlink"/>
            <w:rFonts w:ascii="Arial" w:hAnsi="Arial" w:cs="Arial"/>
          </w:rPr>
          <w:t>: Gentrification, broken promises, and hope on Atlanta’s Southside (2017).</w:t>
        </w:r>
      </w:hyperlink>
      <w:r w:rsidR="00C01A19" w:rsidRPr="009D0C6E">
        <w:rPr>
          <w:rFonts w:ascii="Arial" w:hAnsi="Arial" w:cs="Arial"/>
        </w:rPr>
        <w:t xml:space="preserve"> </w:t>
      </w:r>
    </w:p>
  </w:endnote>
  <w:endnote w:id="6">
    <w:p w14:paraId="21687E69" w14:textId="7EBEFDB1" w:rsidR="00E52480" w:rsidRPr="009D0C6E" w:rsidRDefault="00E52480" w:rsidP="00DA51D1">
      <w:pPr>
        <w:pStyle w:val="EndnoteText"/>
        <w:spacing w:after="120"/>
        <w:rPr>
          <w:rFonts w:ascii="Arial" w:hAnsi="Arial" w:cs="Arial"/>
        </w:rPr>
      </w:pPr>
      <w:r w:rsidRPr="009D0C6E">
        <w:rPr>
          <w:rStyle w:val="EndnoteReference"/>
          <w:rFonts w:ascii="Arial" w:hAnsi="Arial" w:cs="Arial"/>
          <w:vertAlign w:val="baseline"/>
        </w:rPr>
        <w:endnoteRef/>
      </w:r>
      <w:r w:rsidRPr="009D0C6E">
        <w:rPr>
          <w:rFonts w:ascii="Arial" w:hAnsi="Arial" w:cs="Arial"/>
        </w:rPr>
        <w:t xml:space="preserve">. </w:t>
      </w:r>
      <w:hyperlink r:id="rId4" w:history="1">
        <w:r w:rsidRPr="009D0C6E">
          <w:rPr>
            <w:rStyle w:val="Hyperlink"/>
            <w:rFonts w:ascii="Arial" w:hAnsi="Arial" w:cs="Arial"/>
          </w:rPr>
          <w:t xml:space="preserve">Powers, Benjamin. "Putting the Brakes on Runaway Gentrification in Atlanta." </w:t>
        </w:r>
        <w:proofErr w:type="spellStart"/>
        <w:r w:rsidRPr="009D0C6E">
          <w:rPr>
            <w:rStyle w:val="Hyperlink"/>
            <w:rFonts w:ascii="Arial" w:hAnsi="Arial" w:cs="Arial"/>
          </w:rPr>
          <w:t>CITYLAB</w:t>
        </w:r>
        <w:proofErr w:type="spellEnd"/>
        <w:r w:rsidRPr="009D0C6E">
          <w:rPr>
            <w:rStyle w:val="Hyperlink"/>
            <w:rFonts w:ascii="Arial" w:hAnsi="Arial" w:cs="Arial"/>
          </w:rPr>
          <w:t xml:space="preserve">, (2017). </w:t>
        </w:r>
      </w:hyperlink>
      <w:r w:rsidRPr="009D0C6E">
        <w:rPr>
          <w:rFonts w:ascii="Arial" w:hAnsi="Arial" w:cs="Arial"/>
        </w:rPr>
        <w:t xml:space="preserve"> </w:t>
      </w:r>
    </w:p>
  </w:endnote>
  <w:endnote w:id="7">
    <w:p w14:paraId="6EC618E3" w14:textId="06E2DA4B" w:rsidR="009D0C6E" w:rsidRPr="009D0C6E" w:rsidRDefault="009D0C6E" w:rsidP="00DA51D1">
      <w:pPr>
        <w:pStyle w:val="EndnoteText"/>
        <w:spacing w:after="120"/>
      </w:pPr>
      <w:r w:rsidRPr="009D0C6E">
        <w:rPr>
          <w:rStyle w:val="EndnoteReference"/>
          <w:rFonts w:ascii="Arial" w:hAnsi="Arial" w:cs="Arial"/>
          <w:vertAlign w:val="baseline"/>
        </w:rPr>
        <w:endnoteRef/>
      </w:r>
      <w:r>
        <w:rPr>
          <w:rFonts w:ascii="Arial" w:hAnsi="Arial" w:cs="Arial"/>
        </w:rPr>
        <w:t>.</w:t>
      </w:r>
      <w:r w:rsidRPr="009D0C6E">
        <w:rPr>
          <w:rFonts w:ascii="Arial" w:hAnsi="Arial" w:cs="Arial"/>
        </w:rPr>
        <w:t xml:space="preserve"> </w:t>
      </w:r>
      <w:hyperlink r:id="rId5" w:history="1">
        <w:r w:rsidRPr="009D0C6E">
          <w:rPr>
            <w:rStyle w:val="Hyperlink"/>
            <w:rFonts w:ascii="Arial" w:hAnsi="Arial" w:cs="Arial"/>
          </w:rPr>
          <w:t xml:space="preserve">Mariano, Willoughby, Lindsey Conway and </w:t>
        </w:r>
        <w:proofErr w:type="spellStart"/>
        <w:r w:rsidRPr="009D0C6E">
          <w:rPr>
            <w:rStyle w:val="Hyperlink"/>
            <w:rFonts w:ascii="Arial" w:hAnsi="Arial" w:cs="Arial"/>
          </w:rPr>
          <w:t>Anastaciah</w:t>
        </w:r>
        <w:proofErr w:type="spellEnd"/>
        <w:r w:rsidRPr="009D0C6E">
          <w:rPr>
            <w:rStyle w:val="Hyperlink"/>
            <w:rFonts w:ascii="Arial" w:hAnsi="Arial" w:cs="Arial"/>
          </w:rPr>
          <w:t xml:space="preserve"> </w:t>
        </w:r>
        <w:proofErr w:type="spellStart"/>
        <w:r w:rsidRPr="009D0C6E">
          <w:rPr>
            <w:rStyle w:val="Hyperlink"/>
            <w:rFonts w:ascii="Arial" w:hAnsi="Arial" w:cs="Arial"/>
          </w:rPr>
          <w:t>Ondieki</w:t>
        </w:r>
        <w:proofErr w:type="spellEnd"/>
        <w:r w:rsidRPr="009D0C6E">
          <w:rPr>
            <w:rStyle w:val="Hyperlink"/>
            <w:rFonts w:ascii="Arial" w:hAnsi="Arial" w:cs="Arial"/>
          </w:rPr>
          <w:t xml:space="preserve">. “How the Atlanta Beltline broke its promise on affordable housing.” </w:t>
        </w:r>
        <w:r w:rsidRPr="009D0C6E">
          <w:rPr>
            <w:rStyle w:val="Hyperlink"/>
            <w:rFonts w:ascii="Arial" w:hAnsi="Arial" w:cs="Arial"/>
            <w:i/>
          </w:rPr>
          <w:t>The Atlanta Journal-Constitution</w:t>
        </w:r>
        <w:r w:rsidRPr="009D0C6E">
          <w:rPr>
            <w:rStyle w:val="Hyperlink"/>
            <w:rFonts w:ascii="Arial" w:hAnsi="Arial" w:cs="Arial"/>
          </w:rPr>
          <w:t xml:space="preserve"> (2017).</w:t>
        </w:r>
      </w:hyperlink>
      <w:r w:rsidRPr="009D0C6E">
        <w:t xml:space="preserve"> </w:t>
      </w:r>
    </w:p>
  </w:endnote>
  <w:endnote w:id="8">
    <w:p w14:paraId="2540EBC9" w14:textId="0017611F" w:rsidR="00E52480" w:rsidRPr="009D0C6E" w:rsidRDefault="00E52480" w:rsidP="00DA51D1">
      <w:pPr>
        <w:pStyle w:val="EndnoteText"/>
        <w:spacing w:after="120"/>
        <w:rPr>
          <w:rFonts w:ascii="Arial" w:hAnsi="Arial" w:cs="Arial"/>
        </w:rPr>
      </w:pPr>
      <w:r w:rsidRPr="009D0C6E">
        <w:rPr>
          <w:rStyle w:val="EndnoteReference"/>
          <w:rFonts w:ascii="Arial" w:hAnsi="Arial" w:cs="Arial"/>
          <w:vertAlign w:val="baseline"/>
        </w:rPr>
        <w:endnoteRef/>
      </w:r>
      <w:r w:rsidRPr="009D0C6E">
        <w:rPr>
          <w:rFonts w:ascii="Arial" w:hAnsi="Arial" w:cs="Arial"/>
        </w:rPr>
        <w:t xml:space="preserve">. </w:t>
      </w:r>
      <w:proofErr w:type="spellStart"/>
      <w:r w:rsidRPr="009D0C6E">
        <w:rPr>
          <w:rFonts w:ascii="Arial" w:hAnsi="Arial" w:cs="Arial"/>
        </w:rPr>
        <w:t>Immergluck</w:t>
      </w:r>
      <w:proofErr w:type="spellEnd"/>
      <w:r w:rsidRPr="009D0C6E">
        <w:rPr>
          <w:rFonts w:ascii="Arial" w:hAnsi="Arial" w:cs="Arial"/>
        </w:rPr>
        <w:t xml:space="preserve">, Dan. "Large Redevelopment Initiatives, Housing Values and Gentrification: The Case of the Atlanta Beltline." </w:t>
      </w:r>
      <w:r w:rsidRPr="009D0C6E">
        <w:rPr>
          <w:rFonts w:ascii="Arial" w:hAnsi="Arial" w:cs="Arial"/>
          <w:i/>
          <w:iCs/>
        </w:rPr>
        <w:t>Urban Studies</w:t>
      </w:r>
      <w:r w:rsidRPr="009D0C6E">
        <w:rPr>
          <w:rFonts w:ascii="Arial" w:hAnsi="Arial" w:cs="Arial"/>
        </w:rPr>
        <w:t xml:space="preserve"> 46, no. 8 (2009): 1723-745.</w:t>
      </w:r>
    </w:p>
  </w:endnote>
  <w:endnote w:id="9">
    <w:p w14:paraId="36FFCB06" w14:textId="42DBF3EF" w:rsidR="00E52480" w:rsidRPr="009D0C6E" w:rsidRDefault="00E52480" w:rsidP="00DA51D1">
      <w:pPr>
        <w:pStyle w:val="EndnoteText"/>
        <w:spacing w:after="120"/>
      </w:pPr>
      <w:r w:rsidRPr="009D0C6E">
        <w:rPr>
          <w:rStyle w:val="EndnoteReference"/>
          <w:rFonts w:ascii="Arial" w:hAnsi="Arial" w:cs="Arial"/>
          <w:vertAlign w:val="baseline"/>
        </w:rPr>
        <w:endnoteRef/>
      </w:r>
      <w:r w:rsidR="00EA5405" w:rsidRPr="009D0C6E">
        <w:rPr>
          <w:rFonts w:ascii="Arial" w:hAnsi="Arial" w:cs="Arial"/>
        </w:rPr>
        <w:t>.</w:t>
      </w:r>
      <w:r w:rsidRPr="009D0C6E">
        <w:rPr>
          <w:rFonts w:ascii="Arial" w:hAnsi="Arial" w:cs="Arial"/>
        </w:rPr>
        <w:t xml:space="preserve"> See: </w:t>
      </w:r>
      <w:hyperlink r:id="rId6" w:history="1">
        <w:r w:rsidRPr="009D0C6E">
          <w:rPr>
            <w:rStyle w:val="Hyperlink"/>
            <w:rFonts w:ascii="Arial" w:hAnsi="Arial" w:cs="Arial"/>
          </w:rPr>
          <w:t>Checker, Melissa. "Wiped Out by the “</w:t>
        </w:r>
        <w:proofErr w:type="spellStart"/>
        <w:r w:rsidRPr="009D0C6E">
          <w:rPr>
            <w:rStyle w:val="Hyperlink"/>
            <w:rFonts w:ascii="Arial" w:hAnsi="Arial" w:cs="Arial"/>
          </w:rPr>
          <w:t>Greenwave</w:t>
        </w:r>
        <w:proofErr w:type="spellEnd"/>
        <w:r w:rsidRPr="009D0C6E">
          <w:rPr>
            <w:rStyle w:val="Hyperlink"/>
            <w:rFonts w:ascii="Arial" w:hAnsi="Arial" w:cs="Arial"/>
          </w:rPr>
          <w:t>”: Environmental Gentrification and the Paradoxical Politics of Urban Sustainability." City &amp; Society 23, no. 2 (2011): 210-29</w:t>
        </w:r>
      </w:hyperlink>
      <w:r w:rsidRPr="009D0C6E">
        <w:rPr>
          <w:rFonts w:ascii="Arial" w:hAnsi="Arial" w:cs="Arial"/>
        </w:rPr>
        <w:t xml:space="preserve">, and </w:t>
      </w:r>
      <w:hyperlink r:id="rId7" w:history="1">
        <w:r w:rsidRPr="009D0C6E">
          <w:rPr>
            <w:rStyle w:val="Hyperlink"/>
            <w:rFonts w:ascii="Arial" w:hAnsi="Arial" w:cs="Arial"/>
          </w:rPr>
          <w:t>Loughran, Kevin. "Parks for Profit: The High Line, Growth Machines, and the Uneven Development of Urban Public Spaces." City &amp; Community 13, no. 1 (2014): 49-68</w:t>
        </w:r>
      </w:hyperlink>
      <w:r w:rsidRPr="009D0C6E">
        <w:rPr>
          <w:rFonts w:ascii="Arial" w:hAnsi="Arial" w:cs="Arial"/>
        </w:rPr>
        <w:t>.</w:t>
      </w:r>
      <w:r w:rsidRPr="009D0C6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51E5" w14:textId="77777777" w:rsidR="00686245" w:rsidRDefault="00686245" w:rsidP="00C57639">
      <w:pPr>
        <w:spacing w:after="0" w:line="240" w:lineRule="auto"/>
      </w:pPr>
      <w:r>
        <w:separator/>
      </w:r>
    </w:p>
  </w:footnote>
  <w:footnote w:type="continuationSeparator" w:id="0">
    <w:p w14:paraId="1185E8AA" w14:textId="77777777" w:rsidR="00686245" w:rsidRDefault="00686245" w:rsidP="00C57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74F1"/>
    <w:multiLevelType w:val="hybridMultilevel"/>
    <w:tmpl w:val="B58E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763AF"/>
    <w:multiLevelType w:val="multilevel"/>
    <w:tmpl w:val="D482FA56"/>
    <w:lvl w:ilvl="0">
      <w:start w:val="20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5F64AA"/>
    <w:multiLevelType w:val="hybridMultilevel"/>
    <w:tmpl w:val="BD6696B6"/>
    <w:lvl w:ilvl="0" w:tplc="0464E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39"/>
    <w:rsid w:val="00092D96"/>
    <w:rsid w:val="000B7769"/>
    <w:rsid w:val="000E5126"/>
    <w:rsid w:val="00321AD3"/>
    <w:rsid w:val="00361224"/>
    <w:rsid w:val="005F6917"/>
    <w:rsid w:val="00686245"/>
    <w:rsid w:val="00716B98"/>
    <w:rsid w:val="00790003"/>
    <w:rsid w:val="008972C8"/>
    <w:rsid w:val="009C6060"/>
    <w:rsid w:val="009D0C6E"/>
    <w:rsid w:val="00A7555C"/>
    <w:rsid w:val="00A85E6F"/>
    <w:rsid w:val="00AC5919"/>
    <w:rsid w:val="00AD10F4"/>
    <w:rsid w:val="00B14512"/>
    <w:rsid w:val="00C01A19"/>
    <w:rsid w:val="00C15FAC"/>
    <w:rsid w:val="00C57639"/>
    <w:rsid w:val="00C613C4"/>
    <w:rsid w:val="00C820EC"/>
    <w:rsid w:val="00D21BC4"/>
    <w:rsid w:val="00DA51D1"/>
    <w:rsid w:val="00E1432F"/>
    <w:rsid w:val="00E26F1E"/>
    <w:rsid w:val="00E52480"/>
    <w:rsid w:val="00EA5405"/>
    <w:rsid w:val="00ED0865"/>
    <w:rsid w:val="00ED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C591"/>
  <w15:chartTrackingRefBased/>
  <w15:docId w15:val="{0C756FF9-711F-474F-86BC-67558AD7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7639"/>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C57639"/>
    <w:rPr>
      <w:rFonts w:eastAsia="Times New Roman"/>
      <w:sz w:val="20"/>
      <w:szCs w:val="20"/>
    </w:rPr>
  </w:style>
  <w:style w:type="character" w:styleId="EndnoteReference">
    <w:name w:val="endnote reference"/>
    <w:basedOn w:val="DefaultParagraphFont"/>
    <w:uiPriority w:val="99"/>
    <w:semiHidden/>
    <w:unhideWhenUsed/>
    <w:rsid w:val="00C57639"/>
    <w:rPr>
      <w:vertAlign w:val="superscript"/>
    </w:rPr>
  </w:style>
  <w:style w:type="character" w:styleId="Hyperlink">
    <w:name w:val="Hyperlink"/>
    <w:basedOn w:val="DefaultParagraphFont"/>
    <w:uiPriority w:val="99"/>
    <w:unhideWhenUsed/>
    <w:rsid w:val="00C57639"/>
    <w:rPr>
      <w:color w:val="0000FF"/>
      <w:u w:val="single"/>
    </w:rPr>
  </w:style>
  <w:style w:type="paragraph" w:styleId="BalloonText">
    <w:name w:val="Balloon Text"/>
    <w:basedOn w:val="Normal"/>
    <w:link w:val="BalloonTextChar"/>
    <w:uiPriority w:val="99"/>
    <w:semiHidden/>
    <w:unhideWhenUsed/>
    <w:rsid w:val="00C5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39"/>
    <w:rPr>
      <w:rFonts w:ascii="Segoe UI" w:hAnsi="Segoe UI" w:cs="Segoe UI"/>
      <w:sz w:val="18"/>
      <w:szCs w:val="18"/>
    </w:rPr>
  </w:style>
  <w:style w:type="character" w:styleId="UnresolvedMention">
    <w:name w:val="Unresolved Mention"/>
    <w:basedOn w:val="DefaultParagraphFont"/>
    <w:uiPriority w:val="99"/>
    <w:semiHidden/>
    <w:unhideWhenUsed/>
    <w:rsid w:val="005F6917"/>
    <w:rPr>
      <w:color w:val="605E5C"/>
      <w:shd w:val="clear" w:color="auto" w:fill="E1DFDD"/>
    </w:rPr>
  </w:style>
  <w:style w:type="character" w:styleId="FollowedHyperlink">
    <w:name w:val="FollowedHyperlink"/>
    <w:basedOn w:val="DefaultParagraphFont"/>
    <w:uiPriority w:val="99"/>
    <w:semiHidden/>
    <w:unhideWhenUsed/>
    <w:rsid w:val="00A85E6F"/>
    <w:rPr>
      <w:color w:val="954F72" w:themeColor="followedHyperlink"/>
      <w:u w:val="single"/>
    </w:rPr>
  </w:style>
  <w:style w:type="character" w:styleId="CommentReference">
    <w:name w:val="annotation reference"/>
    <w:basedOn w:val="DefaultParagraphFont"/>
    <w:uiPriority w:val="99"/>
    <w:semiHidden/>
    <w:unhideWhenUsed/>
    <w:rsid w:val="00E26F1E"/>
    <w:rPr>
      <w:sz w:val="16"/>
      <w:szCs w:val="16"/>
    </w:rPr>
  </w:style>
  <w:style w:type="paragraph" w:styleId="CommentText">
    <w:name w:val="annotation text"/>
    <w:basedOn w:val="Normal"/>
    <w:link w:val="CommentTextChar"/>
    <w:uiPriority w:val="99"/>
    <w:semiHidden/>
    <w:unhideWhenUsed/>
    <w:rsid w:val="00E26F1E"/>
    <w:pPr>
      <w:spacing w:line="240" w:lineRule="auto"/>
    </w:pPr>
    <w:rPr>
      <w:sz w:val="20"/>
      <w:szCs w:val="20"/>
    </w:rPr>
  </w:style>
  <w:style w:type="character" w:customStyle="1" w:styleId="CommentTextChar">
    <w:name w:val="Comment Text Char"/>
    <w:basedOn w:val="DefaultParagraphFont"/>
    <w:link w:val="CommentText"/>
    <w:uiPriority w:val="99"/>
    <w:semiHidden/>
    <w:rsid w:val="00E26F1E"/>
    <w:rPr>
      <w:sz w:val="20"/>
      <w:szCs w:val="20"/>
    </w:rPr>
  </w:style>
  <w:style w:type="paragraph" w:styleId="CommentSubject">
    <w:name w:val="annotation subject"/>
    <w:basedOn w:val="CommentText"/>
    <w:next w:val="CommentText"/>
    <w:link w:val="CommentSubjectChar"/>
    <w:uiPriority w:val="99"/>
    <w:semiHidden/>
    <w:unhideWhenUsed/>
    <w:rsid w:val="00E26F1E"/>
    <w:rPr>
      <w:b/>
      <w:bCs/>
    </w:rPr>
  </w:style>
  <w:style w:type="character" w:customStyle="1" w:styleId="CommentSubjectChar">
    <w:name w:val="Comment Subject Char"/>
    <w:basedOn w:val="CommentTextChar"/>
    <w:link w:val="CommentSubject"/>
    <w:uiPriority w:val="99"/>
    <w:semiHidden/>
    <w:rsid w:val="00E26F1E"/>
    <w:rPr>
      <w:b/>
      <w:bCs/>
      <w:sz w:val="20"/>
      <w:szCs w:val="20"/>
    </w:rPr>
  </w:style>
  <w:style w:type="paragraph" w:styleId="ListParagraph">
    <w:name w:val="List Paragraph"/>
    <w:basedOn w:val="Normal"/>
    <w:uiPriority w:val="34"/>
    <w:qFormat/>
    <w:rsid w:val="00B1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malu/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e-learn-sustain.gatech.edu/sites/default/files/documents/summer_session_sustainability_track_framework.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1&amp;ved=0ahUKEwjoj_HjwODbAhVtp1kKHYZHBS8QFggpMAA&amp;url=https%3A%2F%2Fstatic1.squarespace.com%2Fstatic%2F59da49b712abd904963589b6%2Ft%2F59dedb75f7e0ab47a08224b5%2F1507777424592%2FBeltlining%2BReport%2B-%2BHJL%2Band%2BRA%2BOct%2B9.pdf&amp;usg=AOvVaw08YGzQ7JL8EZcRlwMb2rQ2" TargetMode="External"/><Relationship Id="rId7" Type="http://schemas.openxmlformats.org/officeDocument/2006/relationships/hyperlink" Target="https://onlinelibrary.wiley.com/doi/full/10.1111/cico.12050" TargetMode="External"/><Relationship Id="rId2" Type="http://schemas.openxmlformats.org/officeDocument/2006/relationships/hyperlink" Target="https://www.google.com/url?q=https://www.asce.org/templates/sustainability-profile.aspx?id%3D24439&amp;sa=D&amp;ust=1529426753872000&amp;usg=AFQjCNGytK0cp9gVXUEZfavr-UhxEphpBA" TargetMode="External"/><Relationship Id="rId1" Type="http://schemas.openxmlformats.org/officeDocument/2006/relationships/hyperlink" Target="https://www.google.com/url?q=https://savingplaces.org/stories/ponce-city-market-atlantas-history-making%23.WyklZadKh9M&amp;sa=D&amp;ust=1529426986319000&amp;usg=AFQjCNEzUMre55ToC5FKrU_c3UgIrfT8Sw" TargetMode="External"/><Relationship Id="rId6" Type="http://schemas.openxmlformats.org/officeDocument/2006/relationships/hyperlink" Target="https://anthrosource.onlinelibrary.wiley.com/doi/full/10.1111/j.1548-744X.2011.01063.x" TargetMode="External"/><Relationship Id="rId5" Type="http://schemas.openxmlformats.org/officeDocument/2006/relationships/hyperlink" Target="https://www.myajc.com/news/local/how-the-atlanta-beltline-broke-its-promise-affordable-housing/0VXnu1BlYC0IbA9U4u2CEM/" TargetMode="External"/><Relationship Id="rId4" Type="http://schemas.openxmlformats.org/officeDocument/2006/relationships/hyperlink" Target="https://www.citylab.com/equity/2017/11/putting-the-brakes-on-runaway-gentrification-in-atlanta/545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1C01-333F-41E8-87FA-9D0C7165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Bethany Jacobs</cp:lastModifiedBy>
  <cp:revision>7</cp:revision>
  <dcterms:created xsi:type="dcterms:W3CDTF">2018-06-19T16:15:00Z</dcterms:created>
  <dcterms:modified xsi:type="dcterms:W3CDTF">2018-06-21T16:57:00Z</dcterms:modified>
</cp:coreProperties>
</file>